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C398" w14:textId="15C0636D" w:rsidR="00594FB3" w:rsidRDefault="00594FB3" w:rsidP="00700AA1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it-IT"/>
        </w:rPr>
      </w:pPr>
      <w:r w:rsidRPr="00594FB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it-IT"/>
        </w:rPr>
        <w:t>I confin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it-IT"/>
        </w:rPr>
        <w:t>i</w:t>
      </w:r>
      <w:r w:rsidRPr="00594FB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it-IT"/>
        </w:rPr>
        <w:t xml:space="preserve"> organizzativi per la transizione 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val="it-IT"/>
        </w:rPr>
        <w:t>sostenibile</w:t>
      </w:r>
    </w:p>
    <w:p w14:paraId="10B2F7AF" w14:textId="6900A431" w:rsidR="00176CE8" w:rsidRPr="0015580B" w:rsidRDefault="00176CE8" w:rsidP="00176CE8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15580B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(Organizational boundaries for sustainability transition)</w:t>
      </w:r>
    </w:p>
    <w:p w14:paraId="4C9A8312" w14:textId="77777777" w:rsidR="007A5E23" w:rsidRPr="0015580B" w:rsidRDefault="007A5E23"/>
    <w:p w14:paraId="5EA3361C" w14:textId="77777777" w:rsidR="00700AA1" w:rsidRPr="0015580B" w:rsidRDefault="00700AA1" w:rsidP="00700AA1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</w:p>
    <w:p w14:paraId="365FB194" w14:textId="5E55D887" w:rsidR="00700AA1" w:rsidRDefault="00700AA1" w:rsidP="00700AA1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Supervisors</w:t>
      </w:r>
      <w:r w:rsidRPr="00767094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:</w:t>
      </w:r>
      <w:r w:rsidRPr="0076709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Mariolina Longo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 Matteo Mura</w:t>
      </w:r>
    </w:p>
    <w:p w14:paraId="538693D0" w14:textId="77777777" w:rsidR="00B059DF" w:rsidRDefault="00B059DF" w:rsidP="00700AA1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</w:p>
    <w:p w14:paraId="1E609174" w14:textId="3765B2BB" w:rsidR="00A86CB5" w:rsidRDefault="00A86CB5" w:rsidP="00700AA1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B059DF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Coerenza con Piano Nazionale della Ricerca (PNR):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L</w:t>
      </w:r>
      <w:r w:rsidRPr="00A86CB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e tematiche coerenti sono relative alla Linea 5.5.2 “Cambiamento climatico, mitigazione e adattamento” del PNR, in particolare Articolazione 6. “Valutazione della efficacia e della sostenibilità delle misure di mitigazione” e Articolazione 7. “Sviluppo di strategie e azioni per l’attuazione di interventi di adattamento climatico”.</w:t>
      </w:r>
    </w:p>
    <w:p w14:paraId="102C59B4" w14:textId="6CE17145" w:rsidR="00700AA1" w:rsidRDefault="00700AA1" w:rsidP="00700AA1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</w:p>
    <w:p w14:paraId="1FC354B0" w14:textId="77777777" w:rsidR="00B059DF" w:rsidRPr="00DA0D04" w:rsidRDefault="00B059DF" w:rsidP="00700AA1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</w:p>
    <w:p w14:paraId="107A0731" w14:textId="77777777" w:rsidR="00700AA1" w:rsidRPr="00DA0D04" w:rsidRDefault="00700AA1" w:rsidP="00700AA1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  <w:r w:rsidRPr="00DA0D04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Background</w:t>
      </w:r>
    </w:p>
    <w:p w14:paraId="34728A24" w14:textId="77777777" w:rsidR="000F727F" w:rsidRPr="00DA0D04" w:rsidRDefault="002D1D39" w:rsidP="002D1567">
      <w:p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 sistemi socio</w:t>
      </w:r>
      <w:r w:rsidR="000F727F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-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economici sono chiamati ad affrontare importanti sfide di sostenibilità</w:t>
      </w:r>
      <w:r w:rsidR="00DD015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che richiedono un uso più efficiente delle risorse a livello aziendale e </w:t>
      </w:r>
      <w:r w:rsidR="00DD015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di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catene di approvvigionamento. </w:t>
      </w:r>
      <w:r w:rsidR="00882B02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T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ransizione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sostenibile </w:t>
      </w:r>
      <w:r w:rsidR="00882B02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ed economia circolare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rappresentano leve di vantaggio competitivo per 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le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imprese in quanto garantiscono l’accesso a nuovi mercati e un posizionamento strategico differenziale rispetto ai competitor, riducono i rischi di approvvigionamento di materie prime e componenti, generano esternalità positive per i territori nei quali tali imprese operano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 anche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attraverso la conservazione del capitale naturale (Kirchherr et al., 2017). Sono tuttavia ancora numerose le barriere percepite dal mondo industriale per sviluppare 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percorsi di transizione sostenibile e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un approccio circolare al business: mancanza di coordinamento tra normative a livello locale, nazionale e sovranazionale, percezione da parte delle imprese dell’economia circolare come un costo e non come un investimento, comprensione su come sviluppare e implementare modelli di business circolari (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Canal-Vieira, Longo, Mura, 2022;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Longo, Mura, Zanni, 2020).</w:t>
      </w:r>
      <w:r w:rsidR="009E38DC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Per superare tali barriere appare necessario adottare un approccio sistemico</w:t>
      </w:r>
      <w:r w:rsidR="00976C00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alla gestione aziendale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 declinato attraverso logiche di interconnessione, coevoluzione e multiscalarità (Schad, Bansal, 2018; Mura, Longo et al., 2021), per sviluppare modelli di business centrati sull’innovazione sostenibile (Adams et al., 2016; Kramer et al., 2019) e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su nuove forme 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organizzative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quali</w:t>
      </w:r>
      <w:r w:rsidR="00976C00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 ad esempio,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le meta-organizzazioni (</w:t>
      </w:r>
      <w:r w:rsidR="00976C00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Berkowitz et al., 2017</w:t>
      </w: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)</w:t>
      </w:r>
      <w:r w:rsidR="00287FD1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. </w:t>
      </w:r>
    </w:p>
    <w:p w14:paraId="292A486B" w14:textId="77777777" w:rsidR="00976C00" w:rsidRPr="000F727F" w:rsidRDefault="00976C00" w:rsidP="00B059DF">
      <w:p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In tale contesto appare necessario comprendere quali considerare come limiti e confini dell’azione organizzativa: l’impresa stessa, la sua catena del valore o il suo network del valore (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Grewatsch et al., 2021; Williams et al., 2021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).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Strategie aziendali che migliorano le prestazioni ambientali della singola impresa potrebbero non portare necessariamente a risultati migliori a livello di sistema, allo stesso tempo la strategia aziendale deve tenere in considerazione anche l'interazione con altre imprese, </w:t>
      </w:r>
      <w:r w:rsidR="000F727F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altri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attori sociali, mercati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lastRenderedPageBreak/>
        <w:t xml:space="preserve">diversi e ambiente naturale, questo porta a dover 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analizzare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l'intera catena del valore d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ell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'impresa 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per la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creazione di un reale impatto positivo.</w:t>
      </w:r>
    </w:p>
    <w:p w14:paraId="5628F355" w14:textId="77777777" w:rsidR="000F727F" w:rsidRDefault="009E38DC" w:rsidP="00B059DF">
      <w:p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Il</w:t>
      </w:r>
      <w:r w:rsidR="008A2861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progetto </w:t>
      </w:r>
      <w:r w:rsidR="008A2861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di ricerca si inserisce all’interno dello Spoke 5 (Circular and blue economy) del progetto </w:t>
      </w:r>
      <w:r w:rsidR="00B32700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“Ecosistema per la transizione sostenibile in Emilia Romagna”</w:t>
      </w:r>
      <w:r w:rsidR="008A2861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e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ha l’obiettivo di approfondire </w:t>
      </w:r>
      <w:r w:rsidR="008A2861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i 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temi</w:t>
      </w:r>
      <w:r w:rsidR="008A2861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sopra esposti</w:t>
      </w:r>
      <w:r w:rsidR="000F727F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con un focus particolare su: </w:t>
      </w:r>
    </w:p>
    <w:p w14:paraId="7C0BE223" w14:textId="77777777" w:rsidR="000F727F" w:rsidRDefault="002D1567" w:rsidP="00B059DF">
      <w:pPr>
        <w:pStyle w:val="ListParagraph"/>
        <w:numPr>
          <w:ilvl w:val="0"/>
          <w:numId w:val="1"/>
        </w:num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analisi delle relazioni inter-organizzative nel processo di sviluppo di transizioni sostenibili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;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</w:p>
    <w:p w14:paraId="6EEF45E2" w14:textId="77777777" w:rsidR="000F727F" w:rsidRDefault="008A2861" w:rsidP="00B059DF">
      <w:pPr>
        <w:pStyle w:val="ListParagraph"/>
        <w:numPr>
          <w:ilvl w:val="0"/>
          <w:numId w:val="1"/>
        </w:num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individuazione e definizione</w:t>
      </w:r>
      <w:r w:rsidR="002D1567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di tipologie specifiche di percorsi di transizione verso modelli </w:t>
      </w:r>
      <w:r w:rsidR="00E03946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circolari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;</w:t>
      </w:r>
      <w:r w:rsidR="00E03946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</w:p>
    <w:p w14:paraId="6C58E1F7" w14:textId="77777777" w:rsidR="002D1567" w:rsidRPr="000F727F" w:rsidRDefault="00E03946" w:rsidP="00B059DF">
      <w:pPr>
        <w:pStyle w:val="ListParagraph"/>
        <w:numPr>
          <w:ilvl w:val="0"/>
          <w:numId w:val="1"/>
        </w:num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comprensione dei fattori abilitanti e delle barriere allo sviluppo di percorsi di transizione verso la sostenibilità.</w:t>
      </w:r>
    </w:p>
    <w:p w14:paraId="28E1AC1B" w14:textId="08B41C94" w:rsidR="00287FD1" w:rsidRPr="000F727F" w:rsidRDefault="00287FD1" w:rsidP="00B059DF">
      <w:pPr>
        <w:spacing w:before="120" w:after="120" w:line="360" w:lineRule="atLeast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Lo studio sarà condotto utilizzando dati primari raccolti attraverso interviste</w:t>
      </w:r>
      <w:r w:rsidR="00E03946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,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focus group</w:t>
      </w:r>
      <w:r w:rsidR="00E03946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e analisi testuale,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e dati secondari prodotti dall’</w:t>
      </w:r>
      <w:r w:rsidR="000F727F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Unione </w:t>
      </w:r>
      <w:r w:rsid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Europea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(es. database ETS, Eurostat) e realizzati dagli autori attraverso progetti precedenti (Mura, Longo et al., 2021). </w:t>
      </w:r>
    </w:p>
    <w:p w14:paraId="74944685" w14:textId="77777777" w:rsidR="00287FD1" w:rsidRPr="00287FD1" w:rsidRDefault="00287FD1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</w:p>
    <w:p w14:paraId="77625DCA" w14:textId="19005797" w:rsidR="006F4234" w:rsidRP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 xml:space="preserve">Piano di </w:t>
      </w:r>
      <w:r w:rsidR="0015580B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attività</w:t>
      </w:r>
      <w:bookmarkStart w:id="0" w:name="_GoBack"/>
      <w:bookmarkEnd w:id="0"/>
      <w:r w:rsidRPr="000F727F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 xml:space="preserve"> del</w:t>
      </w:r>
      <w:r w:rsidR="008A2861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>l’assegnista</w:t>
      </w:r>
    </w:p>
    <w:p w14:paraId="13B509CB" w14:textId="77777777" w:rsidR="006F4234" w:rsidRP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  <w:t xml:space="preserve">Anno 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  <w:t>1</w:t>
      </w:r>
    </w:p>
    <w:p w14:paraId="23456A85" w14:textId="77777777" w:rsidR="000F727F" w:rsidRP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Il primo anno si concentrerà principalmente sulla definizione delle domande di ricerca e sullo sviluppo del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la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base dati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. </w:t>
      </w:r>
      <w:r w:rsidR="00B32700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In particolare, le attività dell’assegnista 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riguarderanno:</w:t>
      </w:r>
    </w:p>
    <w:p w14:paraId="39142584" w14:textId="77777777" w:rsidR="000F727F" w:rsidRPr="000F727F" w:rsidRDefault="000F727F" w:rsidP="00B059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Sviluppo e definizione di un'agenda di ricerca;</w:t>
      </w:r>
    </w:p>
    <w:p w14:paraId="54F01171" w14:textId="77777777" w:rsidR="000F727F" w:rsidRPr="000F727F" w:rsidRDefault="000F727F" w:rsidP="00B059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Approfondimento della letteratura sulla transizione alla sostenibilità, con particolare riguardo ai confini organizzativi;</w:t>
      </w:r>
    </w:p>
    <w:p w14:paraId="18DA09C0" w14:textId="77777777" w:rsidR="000F727F" w:rsidRPr="000F727F" w:rsidRDefault="000F727F" w:rsidP="00B059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Progettazione del protocollo di intervista per la conduzione dei casi studio;</w:t>
      </w:r>
    </w:p>
    <w:p w14:paraId="7FB4BB3A" w14:textId="77777777" w:rsidR="000F727F" w:rsidRPr="000F727F" w:rsidRDefault="000F727F" w:rsidP="00B059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Selezione delle imprese per il caso di studio multiplo;</w:t>
      </w:r>
    </w:p>
    <w:p w14:paraId="537F8DEA" w14:textId="77777777" w:rsidR="000F727F" w:rsidRPr="000F727F" w:rsidRDefault="000F727F" w:rsidP="00B059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Analisi dei dati e definizione dei risultati preliminari</w:t>
      </w:r>
    </w:p>
    <w:p w14:paraId="5F742EEF" w14:textId="77777777" w:rsidR="000F727F" w:rsidRP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</w:p>
    <w:p w14:paraId="07397A5E" w14:textId="77777777" w:rsidR="006F4234" w:rsidRP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  <w:t xml:space="preserve">Anno 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u w:val="single"/>
          <w:lang w:val="it-IT"/>
        </w:rPr>
        <w:t>2</w:t>
      </w:r>
    </w:p>
    <w:p w14:paraId="43181F12" w14:textId="77777777" w:rsidR="000F727F" w:rsidRDefault="000F727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Il secondo anno si concentrerà sulla diffusione dei risultati del progetto. </w:t>
      </w:r>
      <w:r w:rsidR="00B569C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In particolare, le attività dell’assegnista </w:t>
      </w:r>
      <w:r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riguarderanno:</w:t>
      </w:r>
    </w:p>
    <w:p w14:paraId="0F6CD4DA" w14:textId="77777777" w:rsidR="006F4234" w:rsidRDefault="000F727F" w:rsidP="00B059D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CA566C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Scrittura di articoli per convegni accademici </w:t>
      </w:r>
      <w:r w:rsidR="006F4234" w:rsidRPr="00CA566C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(</w:t>
      </w:r>
      <w:r w:rsidRPr="00CA566C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as es.</w:t>
      </w:r>
      <w:r w:rsidR="006F4234" w:rsidRPr="00CA566C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  <w:r w:rsidR="006F4234" w:rsidRPr="000F727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Sustainability Ethics &amp; Entrepreneurship Conference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; </w:t>
      </w:r>
      <w:r w:rsidR="006F4234" w:rsidRPr="000F727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AOM Annual Meeting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; </w:t>
      </w:r>
      <w:r w:rsidR="006F4234" w:rsidRPr="000F727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Euroma Conference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; </w:t>
      </w:r>
      <w:r w:rsidR="006F4234" w:rsidRPr="000F727F">
        <w:rPr>
          <w:rFonts w:asciiTheme="majorHAnsi" w:eastAsiaTheme="majorEastAsia" w:hAnsiTheme="majorHAnsi" w:cstheme="majorBidi"/>
          <w:i/>
          <w:spacing w:val="-10"/>
          <w:kern w:val="28"/>
          <w:sz w:val="24"/>
          <w:szCs w:val="24"/>
        </w:rPr>
        <w:t>EU Commission Meetings of the Working Groups on industrial sustainability transition</w:t>
      </w:r>
      <w:r w:rsidR="006F4234" w:rsidRPr="000F727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).</w:t>
      </w:r>
    </w:p>
    <w:p w14:paraId="5D2E6478" w14:textId="77777777" w:rsidR="006F4234" w:rsidRDefault="00CA566C" w:rsidP="00B059D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Scrittura di articoli per riviste accademiche</w:t>
      </w:r>
      <w:r w:rsidR="006F4234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(</w:t>
      </w:r>
      <w:r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ad es.</w:t>
      </w:r>
      <w:r w:rsidR="006F4234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</w:t>
      </w:r>
      <w:r w:rsidR="006F423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Research Policy, Journal of Economic Geography, Journal of Business Ethics, Ecological Economics).</w:t>
      </w:r>
    </w:p>
    <w:p w14:paraId="57D12F0D" w14:textId="77777777" w:rsidR="006F4234" w:rsidRPr="00270E45" w:rsidRDefault="006F4234" w:rsidP="00B059DF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</w:p>
    <w:p w14:paraId="0F06EF4D" w14:textId="77777777" w:rsidR="001327DA" w:rsidRDefault="001327DA" w:rsidP="00B059DF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  <w:r w:rsidRPr="001327DA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  <w:t xml:space="preserve">Valutazione dei risultati conseguiti </w:t>
      </w:r>
    </w:p>
    <w:p w14:paraId="18170DD4" w14:textId="462D1A92" w:rsidR="001327DA" w:rsidRPr="001327DA" w:rsidRDefault="000E732F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L’assegnista</w:t>
      </w:r>
      <w:r w:rsidR="001327DA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sarà tenuto a svolgere diligentemente le attività richieste, con la partecipazione a periodici incontri di coordinamento con i relatori accademici, durante i quali </w:t>
      </w:r>
      <w:r w:rsid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si </w:t>
      </w:r>
      <w:r w:rsidR="001327DA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fisseranno obiettivi intermedi e </w:t>
      </w:r>
      <w:r w:rsid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verrà </w:t>
      </w:r>
      <w:r w:rsidR="001327DA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verific</w:t>
      </w:r>
      <w:r w:rsid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ato</w:t>
      </w:r>
      <w:r w:rsidR="001327DA"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 xml:space="preserve"> lo stato di avanzamento dei risultati richiesti.</w:t>
      </w:r>
    </w:p>
    <w:p w14:paraId="477A41FA" w14:textId="77777777" w:rsidR="001327DA" w:rsidRPr="001327DA" w:rsidRDefault="001327DA" w:rsidP="00B059DF">
      <w:p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Al termine del biennio di borsa, l'assegnista dovrà conseguire i seguenti risultati scientifici:</w:t>
      </w:r>
    </w:p>
    <w:p w14:paraId="3841E3FF" w14:textId="77777777" w:rsidR="001327DA" w:rsidRPr="001327DA" w:rsidRDefault="001327DA" w:rsidP="00B059D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Presentazioni dei risultati raggiunti durante il progetto in almeno quattro conferenze internazionali;</w:t>
      </w:r>
    </w:p>
    <w:p w14:paraId="52D46EC0" w14:textId="77777777" w:rsidR="001327DA" w:rsidRPr="001327DA" w:rsidRDefault="001327DA" w:rsidP="00B059D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  <w:r w:rsidRPr="001327DA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  <w:t>Avere almeno quattro articoli, sviluppati sui risultati di questo progetto, in R&amp;R in riviste Gold o Gold Star (AiIG Ranking 2022).</w:t>
      </w:r>
    </w:p>
    <w:p w14:paraId="3AA98FAC" w14:textId="77777777" w:rsidR="001327DA" w:rsidRPr="001327DA" w:rsidRDefault="001327DA" w:rsidP="00B059DF">
      <w:pPr>
        <w:spacing w:line="360" w:lineRule="auto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it-IT"/>
        </w:rPr>
      </w:pPr>
    </w:p>
    <w:p w14:paraId="15F97DBF" w14:textId="77777777" w:rsidR="00700AA1" w:rsidRPr="001327DA" w:rsidRDefault="00700AA1" w:rsidP="00B059DF">
      <w:pPr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</w:p>
    <w:p w14:paraId="1F59CE13" w14:textId="77777777" w:rsidR="002D1D39" w:rsidRPr="001327DA" w:rsidRDefault="002D1D39" w:rsidP="00B059DF">
      <w:pPr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</w:p>
    <w:p w14:paraId="53435F88" w14:textId="77777777" w:rsidR="002D1D39" w:rsidRPr="00DA0D04" w:rsidRDefault="002D1D39" w:rsidP="001327DA">
      <w:pP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DA0D04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>References</w:t>
      </w:r>
    </w:p>
    <w:p w14:paraId="2738BF0C" w14:textId="77777777" w:rsidR="009C2AE5" w:rsidRDefault="009C2AE5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Adams R., Jeanrenaud S., Bessant J, Denyer D. and Overy P. (2016) “Sustainability-oriented Innovation: A Systematic Review”, International Journal of Management Reviews, Vol. 18, pp. 180–205. </w:t>
      </w:r>
    </w:p>
    <w:p w14:paraId="6249B030" w14:textId="0D483C2A" w:rsidR="000F727F" w:rsidRPr="003D3556" w:rsidRDefault="009C2AE5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Berkowitz, H., </w:t>
      </w:r>
      <w:r w:rsidR="002D1D39"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Bucheli, M., &amp; Dumez, H. (2017): “Collective CSR strategy and the role of meta-organizations: A case study of the oil and gas industry.” </w:t>
      </w:r>
      <w:r w:rsidR="002D1D39" w:rsidRPr="003D3556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Journal of Business Ethics</w:t>
      </w:r>
      <w:r w:rsidR="002D1D39" w:rsidRPr="002D1D3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, 143 (4), 753–769.</w:t>
      </w:r>
    </w:p>
    <w:p w14:paraId="3FF907CA" w14:textId="7EA98F5B" w:rsidR="003D3556" w:rsidRDefault="003D3556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3D3556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Canal-Vieira L., Longo. M., Mura M. (2022) “From carbon dependence to renewables: The European Oil Majors’ strategies to face climate change”, Business Strategy and the Environment. DOI: 10.1002/bse.3185</w:t>
      </w:r>
    </w:p>
    <w:p w14:paraId="56C06BFD" w14:textId="77777777" w:rsidR="00B374C9" w:rsidRPr="00B374C9" w:rsidRDefault="00B374C9" w:rsidP="00B374C9">
      <w:pPr>
        <w:pStyle w:val="Bibliography"/>
        <w:spacing w:before="240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B374C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Grewatsch, S., Kennedy, S., &amp; Bansal, P. (2021). Tackling wicked problems in strategic management with systems thinking. Strategic Organization, 147612702110386. https://doi.org/10.1177/14761270211038635</w:t>
      </w:r>
    </w:p>
    <w:p w14:paraId="5A2A9BBF" w14:textId="15706038" w:rsidR="009C2AE5" w:rsidRPr="009C2AE5" w:rsidRDefault="009C2AE5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Kirchherr J., Reike D., Hekkert M. (2017) “Conceptualizing the circular economy: An analysis of 114 definitions”, Resources, Conservation &amp; Recycling Vol. 127, p. 221–232.</w:t>
      </w:r>
    </w:p>
    <w:p w14:paraId="2EBD565D" w14:textId="6FC95D82" w:rsidR="00A81FAF" w:rsidRPr="009C2AE5" w:rsidRDefault="00A81FAF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Kramer </w:t>
      </w:r>
      <w:r w:rsidR="009C2AE5"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M.R.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,</w:t>
      </w:r>
      <w:r w:rsidR="009C2AE5"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Agarwal R., Srinivas A.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</w:t>
      </w:r>
      <w:r w:rsidR="009C2AE5"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(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2019</w:t>
      </w:r>
      <w:r w:rsidR="009C2AE5"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) “Business as usual will not save the planet”, Harvard Business Review, June. </w:t>
      </w:r>
    </w:p>
    <w:p w14:paraId="30A6EDDA" w14:textId="77777777" w:rsidR="000F727F" w:rsidRPr="003D3556" w:rsidRDefault="000F727F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3D3556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Mura M., Longo M., Toschi L., Zanni S., Visani F., Bianconcini S. (2021) “The role of geographical scales in sustainability transitions: An empirical investigation of the European industrial context”, Ecological Economics, Vol. 183.</w:t>
      </w:r>
    </w:p>
    <w:p w14:paraId="0EFF834A" w14:textId="77777777" w:rsidR="000F727F" w:rsidRPr="009C2AE5" w:rsidRDefault="000F727F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DA0D04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Mura M., Longo M., Zanni S. (2020) “Circular economy in Italian SMEs: A multi-method study”, Journal of Cleaner Production. 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Vol. 245.</w:t>
      </w:r>
    </w:p>
    <w:p w14:paraId="020BC68E" w14:textId="6BB2E3D0" w:rsidR="009C2AE5" w:rsidRDefault="009C2AE5" w:rsidP="00B374C9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Schad, J., Bansal, P.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(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2018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)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“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Seeing the Forest and the Trees: How a Systems Perspective Informs Paradox Research: How a Systems Perspective Informs Paradox Research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”,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Jour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nal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of Manage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ment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Stud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ies,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55,</w:t>
      </w: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pp.</w:t>
      </w:r>
      <w:r w:rsidRPr="009C2AE5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 xml:space="preserve"> 1490–1506. https://doi.org/10.1111/joms.12398</w:t>
      </w:r>
    </w:p>
    <w:p w14:paraId="47E15F19" w14:textId="53E7E367" w:rsidR="00B374C9" w:rsidRPr="00B374C9" w:rsidRDefault="00B374C9" w:rsidP="00B374C9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B374C9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  <w:t>Williams, A., Whiteman, G., &amp; Kennedy, S. (2021). Cross-scale systemic resilience: Implications for organization studies. Business &amp; Society, 60(1), 95–124. https://doi.org/10.1177/0007650319825870</w:t>
      </w:r>
    </w:p>
    <w:p w14:paraId="21B99BFA" w14:textId="77777777" w:rsidR="00A81FAF" w:rsidRPr="001327DA" w:rsidRDefault="00A81FAF" w:rsidP="001327DA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it-IT"/>
        </w:rPr>
      </w:pPr>
    </w:p>
    <w:p w14:paraId="68A18163" w14:textId="77777777" w:rsidR="000F727F" w:rsidRPr="002D1D39" w:rsidRDefault="000F727F" w:rsidP="0013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16ED9C51" w14:textId="77777777" w:rsidR="002D1D39" w:rsidRPr="006F4234" w:rsidRDefault="002D1D39"/>
    <w:sectPr w:rsidR="002D1D39" w:rsidRPr="006F42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6E3F" w16cex:dateUtc="2022-10-19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0F23A" w16cid:durableId="26FA6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57F9" w14:textId="77777777" w:rsidR="008D1B32" w:rsidRDefault="008D1B32" w:rsidP="00B059DF">
      <w:r>
        <w:separator/>
      </w:r>
    </w:p>
  </w:endnote>
  <w:endnote w:type="continuationSeparator" w:id="0">
    <w:p w14:paraId="42124E3F" w14:textId="77777777" w:rsidR="008D1B32" w:rsidRDefault="008D1B32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437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BF0FA" w14:textId="3DA749B2" w:rsidR="00B059DF" w:rsidRDefault="00B05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68CF9" w14:textId="77777777" w:rsidR="00B059DF" w:rsidRDefault="00B0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4ABF" w14:textId="77777777" w:rsidR="008D1B32" w:rsidRDefault="008D1B32" w:rsidP="00B059DF">
      <w:r>
        <w:separator/>
      </w:r>
    </w:p>
  </w:footnote>
  <w:footnote w:type="continuationSeparator" w:id="0">
    <w:p w14:paraId="034061FC" w14:textId="77777777" w:rsidR="008D1B32" w:rsidRDefault="008D1B32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A52"/>
    <w:multiLevelType w:val="hybridMultilevel"/>
    <w:tmpl w:val="D7021814"/>
    <w:lvl w:ilvl="0" w:tplc="27F8E08A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15334"/>
    <w:multiLevelType w:val="hybridMultilevel"/>
    <w:tmpl w:val="936E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1B8"/>
    <w:multiLevelType w:val="hybridMultilevel"/>
    <w:tmpl w:val="735AA97A"/>
    <w:lvl w:ilvl="0" w:tplc="A5845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924"/>
    <w:multiLevelType w:val="hybridMultilevel"/>
    <w:tmpl w:val="104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3E90"/>
    <w:multiLevelType w:val="multilevel"/>
    <w:tmpl w:val="0A5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9474C"/>
    <w:multiLevelType w:val="hybridMultilevel"/>
    <w:tmpl w:val="C9B6C610"/>
    <w:lvl w:ilvl="0" w:tplc="BEE01EA2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0409000F">
      <w:start w:val="1"/>
      <w:numFmt w:val="decimal"/>
      <w:lvlText w:val="%2."/>
      <w:lvlJc w:val="left"/>
      <w:pPr>
        <w:ind w:left="1440" w:hanging="358"/>
      </w:pPr>
    </w:lvl>
    <w:lvl w:ilvl="2" w:tplc="F82C44C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E26CD2F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12D2407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AA60D14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FB48AF1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BAE2E18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0F0C8F0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6" w15:restartNumberingAfterBreak="0">
    <w:nsid w:val="64BE1A4D"/>
    <w:multiLevelType w:val="hybridMultilevel"/>
    <w:tmpl w:val="4B3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4DD8"/>
    <w:multiLevelType w:val="hybridMultilevel"/>
    <w:tmpl w:val="808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4E0B"/>
    <w:multiLevelType w:val="multilevel"/>
    <w:tmpl w:val="8D6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01D0F"/>
    <w:multiLevelType w:val="multilevel"/>
    <w:tmpl w:val="0A5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A1"/>
    <w:rsid w:val="000E732F"/>
    <w:rsid w:val="000F727F"/>
    <w:rsid w:val="001327DA"/>
    <w:rsid w:val="0015580B"/>
    <w:rsid w:val="00176CE8"/>
    <w:rsid w:val="00287FD1"/>
    <w:rsid w:val="002D1567"/>
    <w:rsid w:val="002D1D39"/>
    <w:rsid w:val="003D3556"/>
    <w:rsid w:val="00594FB3"/>
    <w:rsid w:val="006F4234"/>
    <w:rsid w:val="00700AA1"/>
    <w:rsid w:val="00701F24"/>
    <w:rsid w:val="007A5E23"/>
    <w:rsid w:val="00882B02"/>
    <w:rsid w:val="008A2861"/>
    <w:rsid w:val="008D1B32"/>
    <w:rsid w:val="00976C00"/>
    <w:rsid w:val="009C2AE5"/>
    <w:rsid w:val="009E38DC"/>
    <w:rsid w:val="00A81FAF"/>
    <w:rsid w:val="00A86CB5"/>
    <w:rsid w:val="00B059DF"/>
    <w:rsid w:val="00B32700"/>
    <w:rsid w:val="00B374C9"/>
    <w:rsid w:val="00B40404"/>
    <w:rsid w:val="00B569C9"/>
    <w:rsid w:val="00CA566C"/>
    <w:rsid w:val="00DA0D04"/>
    <w:rsid w:val="00DD0154"/>
    <w:rsid w:val="00E03946"/>
    <w:rsid w:val="00E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CFFB"/>
  <w15:chartTrackingRefBased/>
  <w15:docId w15:val="{500EC247-5C4B-48C6-98C0-9E1CC30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OBC Bullet,FooterText,numbered,Paragraphe de liste1,Bulletr List Paragraph,列出段落"/>
    <w:basedOn w:val="Normal"/>
    <w:link w:val="ListParagraphChar"/>
    <w:uiPriority w:val="34"/>
    <w:qFormat/>
    <w:rsid w:val="00700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2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1D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2B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OBC Bullet Char,FooterText Char"/>
    <w:basedOn w:val="DefaultParagraphFont"/>
    <w:link w:val="ListParagraph"/>
    <w:uiPriority w:val="34"/>
    <w:rsid w:val="000F727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3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4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4C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4C9"/>
    <w:pPr>
      <w:spacing w:after="0" w:line="240" w:lineRule="auto"/>
    </w:pPr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74C9"/>
  </w:style>
  <w:style w:type="paragraph" w:styleId="BalloonText">
    <w:name w:val="Balloon Text"/>
    <w:basedOn w:val="Normal"/>
    <w:link w:val="BalloonTextChar"/>
    <w:uiPriority w:val="99"/>
    <w:semiHidden/>
    <w:unhideWhenUsed/>
    <w:rsid w:val="00A86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D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0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Mura</dc:creator>
  <cp:keywords/>
  <dc:description/>
  <cp:lastModifiedBy>Matteo Mura</cp:lastModifiedBy>
  <cp:revision>6</cp:revision>
  <dcterms:created xsi:type="dcterms:W3CDTF">2022-10-21T14:06:00Z</dcterms:created>
  <dcterms:modified xsi:type="dcterms:W3CDTF">2022-12-21T15:08:00Z</dcterms:modified>
</cp:coreProperties>
</file>