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B05E7" w14:textId="3F9DEA0D" w:rsidR="009F5667" w:rsidRPr="009F5667" w:rsidRDefault="009F5667" w:rsidP="009F5667">
      <w:pPr>
        <w:jc w:val="center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9F5667">
        <w:rPr>
          <w:rFonts w:asciiTheme="majorHAnsi" w:hAnsiTheme="majorHAnsi" w:cstheme="majorHAnsi"/>
          <w:b/>
          <w:bCs/>
          <w:color w:val="000000" w:themeColor="text1"/>
          <w:lang w:val="en-US"/>
        </w:rPr>
        <w:t>Next-generation sequencing (NGS) and PCR-based assays for SARS-CoV-2 variants tracking</w:t>
      </w:r>
    </w:p>
    <w:p w14:paraId="42B6E2E5" w14:textId="77777777" w:rsidR="009F5667" w:rsidRDefault="009F5667" w:rsidP="00A0075F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00DE8BC1" w14:textId="77777777" w:rsidR="009F5667" w:rsidRDefault="009F5667" w:rsidP="00A0075F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54C6F156" w14:textId="7D2B4AB9" w:rsidR="00A0075F" w:rsidRPr="00D02AAE" w:rsidRDefault="00B82CC4" w:rsidP="00A0075F">
      <w:pPr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D02AAE">
        <w:rPr>
          <w:rFonts w:asciiTheme="majorHAnsi" w:hAnsiTheme="majorHAnsi" w:cstheme="majorHAnsi"/>
          <w:b/>
          <w:bCs/>
          <w:color w:val="000000" w:themeColor="text1"/>
          <w:lang w:val="en-US"/>
        </w:rPr>
        <w:t>Research P</w:t>
      </w:r>
      <w:r w:rsidR="00A0075F" w:rsidRPr="00D02AAE">
        <w:rPr>
          <w:rFonts w:asciiTheme="majorHAnsi" w:hAnsiTheme="majorHAnsi" w:cstheme="majorHAnsi"/>
          <w:b/>
          <w:bCs/>
          <w:color w:val="000000" w:themeColor="text1"/>
          <w:lang w:val="en-US"/>
        </w:rPr>
        <w:t>roject</w:t>
      </w:r>
    </w:p>
    <w:p w14:paraId="685D0CF5" w14:textId="77777777" w:rsidR="00A0075F" w:rsidRDefault="00A0075F" w:rsidP="00C0765A">
      <w:pPr>
        <w:jc w:val="both"/>
        <w:rPr>
          <w:rFonts w:asciiTheme="majorHAnsi" w:hAnsiTheme="majorHAnsi" w:cstheme="majorHAnsi"/>
          <w:color w:val="000000" w:themeColor="text1"/>
          <w:lang w:val="en-US"/>
        </w:rPr>
      </w:pPr>
    </w:p>
    <w:p w14:paraId="55333573" w14:textId="17EFDF7A" w:rsidR="00C1323F" w:rsidRPr="00C0765A" w:rsidRDefault="00C1323F" w:rsidP="00D02AAE">
      <w:pPr>
        <w:spacing w:line="276" w:lineRule="auto"/>
        <w:jc w:val="both"/>
        <w:rPr>
          <w:rFonts w:asciiTheme="majorHAnsi" w:eastAsiaTheme="minorHAnsi" w:hAnsiTheme="majorHAnsi" w:cstheme="majorHAnsi"/>
          <w:color w:val="000000" w:themeColor="text1"/>
          <w:lang w:val="en-US" w:eastAsia="en-US"/>
        </w:rPr>
      </w:pPr>
      <w:r w:rsidRPr="00C1323F">
        <w:rPr>
          <w:rFonts w:asciiTheme="majorHAnsi" w:eastAsiaTheme="minorHAnsi" w:hAnsiTheme="majorHAnsi" w:cstheme="majorHAnsi"/>
          <w:color w:val="000000" w:themeColor="text1"/>
          <w:lang w:val="en-US" w:eastAsia="en-US"/>
        </w:rPr>
        <w:t xml:space="preserve">In January 2020, a previously unknown coronavirus strain was identified as the cause of a respiratory infection and death in humans. The first viral genome was sequenced using high throughput sequencing (HTS) from a sample collected in Wuhan, China. This virus, belonging to the viral species </w:t>
      </w:r>
      <w:r w:rsidRPr="00C1323F">
        <w:rPr>
          <w:rFonts w:asciiTheme="majorHAnsi" w:eastAsiaTheme="minorHAnsi" w:hAnsiTheme="majorHAnsi" w:cstheme="majorHAnsi"/>
          <w:i/>
          <w:iCs/>
          <w:color w:val="000000" w:themeColor="text1"/>
          <w:lang w:val="en-US" w:eastAsia="en-US"/>
        </w:rPr>
        <w:t>Severe acute respiratory syndrome– related coronavirus</w:t>
      </w:r>
      <w:r w:rsidRPr="00C1323F">
        <w:rPr>
          <w:rFonts w:asciiTheme="majorHAnsi" w:eastAsiaTheme="minorHAnsi" w:hAnsiTheme="majorHAnsi" w:cstheme="majorHAnsi"/>
          <w:color w:val="000000" w:themeColor="text1"/>
          <w:lang w:val="en-US" w:eastAsia="en-US"/>
        </w:rPr>
        <w:t>, has been subsequently named SARS-CoV-2 and the associated disease coronavirus disease 2019 (COVID-19)</w:t>
      </w:r>
      <w:r w:rsidR="003202B4" w:rsidRPr="00C0765A">
        <w:rPr>
          <w:rFonts w:asciiTheme="majorHAnsi" w:eastAsiaTheme="minorHAnsi" w:hAnsiTheme="majorHAnsi" w:cstheme="majorHAnsi"/>
          <w:color w:val="000000" w:themeColor="text1"/>
          <w:lang w:val="en-US" w:eastAsia="en-US"/>
        </w:rPr>
        <w:t>.</w:t>
      </w:r>
    </w:p>
    <w:p w14:paraId="789648EE" w14:textId="4746C870" w:rsidR="00A85054" w:rsidRPr="00A85054" w:rsidRDefault="003202B4" w:rsidP="00D02AA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38717D">
        <w:rPr>
          <w:rFonts w:asciiTheme="majorHAnsi" w:hAnsiTheme="majorHAnsi" w:cstheme="majorHAnsi"/>
          <w:color w:val="000000" w:themeColor="text1"/>
          <w:lang w:val="en-US"/>
        </w:rPr>
        <w:t xml:space="preserve">Since the first described case of SARS-CoV-2 infection in Wuhan, China in December of 2019, over 107 million confirmed infections have been documented, enabling viral diversification and the emergence of several distinct lineages with numerous variants. </w:t>
      </w:r>
      <w:r w:rsidRPr="0038717D">
        <w:rPr>
          <w:rFonts w:asciiTheme="majorHAnsi" w:eastAsiaTheme="minorHAnsi" w:hAnsiTheme="majorHAnsi" w:cstheme="majorHAnsi"/>
          <w:color w:val="000000" w:themeColor="text1"/>
          <w:lang w:val="en-US" w:eastAsia="en-US"/>
        </w:rPr>
        <w:t xml:space="preserve"> </w:t>
      </w:r>
      <w:r w:rsidRPr="0038717D">
        <w:rPr>
          <w:rFonts w:asciiTheme="majorHAnsi" w:hAnsiTheme="majorHAnsi" w:cstheme="majorHAnsi"/>
          <w:color w:val="000000" w:themeColor="text1"/>
          <w:lang w:val="en-US"/>
        </w:rPr>
        <w:t>The emerged variants were classified by the Centers for Disease Control and Prevention (CDC)</w:t>
      </w:r>
      <w:r w:rsidR="00706DCF">
        <w:rPr>
          <w:rFonts w:asciiTheme="majorHAnsi" w:hAnsiTheme="majorHAnsi" w:cstheme="majorHAnsi"/>
          <w:color w:val="000000" w:themeColor="text1"/>
          <w:lang w:val="en-US"/>
        </w:rPr>
        <w:t xml:space="preserve">, </w:t>
      </w:r>
      <w:r w:rsidRPr="0038717D">
        <w:rPr>
          <w:rFonts w:asciiTheme="majorHAnsi" w:hAnsiTheme="majorHAnsi" w:cstheme="majorHAnsi"/>
          <w:color w:val="000000" w:themeColor="text1"/>
          <w:lang w:val="en-US"/>
        </w:rPr>
        <w:t>based on the threat level they pose to the public health</w:t>
      </w:r>
      <w:r w:rsidR="00706DCF">
        <w:rPr>
          <w:rFonts w:asciiTheme="majorHAnsi" w:hAnsiTheme="majorHAnsi" w:cstheme="majorHAnsi"/>
          <w:color w:val="000000" w:themeColor="text1"/>
          <w:lang w:val="en-US"/>
        </w:rPr>
        <w:t>,</w:t>
      </w:r>
      <w:r w:rsidRPr="0038717D">
        <w:rPr>
          <w:rFonts w:asciiTheme="majorHAnsi" w:hAnsiTheme="majorHAnsi" w:cstheme="majorHAnsi"/>
          <w:color w:val="000000" w:themeColor="text1"/>
          <w:lang w:val="en-US"/>
        </w:rPr>
        <w:t xml:space="preserve"> in</w:t>
      </w:r>
      <w:r w:rsidR="00706DCF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38717D">
        <w:rPr>
          <w:rFonts w:asciiTheme="majorHAnsi" w:hAnsiTheme="majorHAnsi" w:cstheme="majorHAnsi"/>
          <w:color w:val="000000" w:themeColor="text1"/>
          <w:lang w:val="en-US"/>
        </w:rPr>
        <w:t>variants of concern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(VOCs)</w:t>
      </w:r>
      <w:r w:rsidRPr="0038717D">
        <w:rPr>
          <w:rFonts w:asciiTheme="majorHAnsi" w:hAnsiTheme="majorHAnsi" w:cstheme="majorHAnsi"/>
          <w:color w:val="000000" w:themeColor="text1"/>
          <w:lang w:val="en-US"/>
        </w:rPr>
        <w:t>, variants of interest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(VOIs)</w:t>
      </w:r>
      <w:r w:rsidRPr="0038717D">
        <w:rPr>
          <w:rFonts w:asciiTheme="majorHAnsi" w:hAnsiTheme="majorHAnsi" w:cstheme="majorHAnsi"/>
          <w:color w:val="000000" w:themeColor="text1"/>
          <w:lang w:val="en-US"/>
        </w:rPr>
        <w:t xml:space="preserve"> and variants of high consequence</w:t>
      </w:r>
      <w:r w:rsidRPr="0038717D">
        <w:rPr>
          <w:rFonts w:asciiTheme="majorHAnsi" w:eastAsiaTheme="minorHAnsi" w:hAnsiTheme="majorHAnsi" w:cstheme="majorHAnsi"/>
          <w:color w:val="000000" w:themeColor="text1"/>
          <w:lang w:val="en-US" w:eastAsia="en-US"/>
        </w:rPr>
        <w:t>.</w:t>
      </w:r>
      <w:r w:rsidR="00C0765A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Pr="0038717D">
        <w:rPr>
          <w:rFonts w:asciiTheme="majorHAnsi" w:hAnsiTheme="majorHAnsi" w:cstheme="majorHAnsi"/>
          <w:color w:val="000000" w:themeColor="text1"/>
          <w:lang w:val="en-US"/>
        </w:rPr>
        <w:t>To be able to confirm infection with a specific variant, sequencing of the whole SARS-CoV-2 genome is required.</w:t>
      </w:r>
      <w:r w:rsidR="00B97F3A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C1323F" w:rsidRPr="00C1323F">
        <w:rPr>
          <w:rFonts w:asciiTheme="majorHAnsi" w:hAnsiTheme="majorHAnsi" w:cstheme="majorHAnsi"/>
          <w:color w:val="000000" w:themeColor="text1"/>
          <w:lang w:val="en-US"/>
        </w:rPr>
        <w:t>Combining information of virus characteristics with clinical and epidemiological data is important</w:t>
      </w:r>
      <w:r w:rsidR="00B82CC4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B82CC4" w:rsidRPr="00C1323F">
        <w:rPr>
          <w:rFonts w:asciiTheme="majorHAnsi" w:hAnsiTheme="majorHAnsi" w:cstheme="majorHAnsi"/>
          <w:color w:val="000000" w:themeColor="text1"/>
          <w:lang w:val="en-US"/>
        </w:rPr>
        <w:t>to guide public health action</w:t>
      </w:r>
      <w:r w:rsidR="00B82CC4">
        <w:rPr>
          <w:rFonts w:asciiTheme="majorHAnsi" w:hAnsiTheme="majorHAnsi" w:cstheme="majorHAnsi"/>
          <w:color w:val="000000" w:themeColor="text1"/>
          <w:lang w:val="en-US"/>
        </w:rPr>
        <w:t>s</w:t>
      </w:r>
      <w:r w:rsidR="00C1323F" w:rsidRPr="00C1323F">
        <w:rPr>
          <w:rFonts w:asciiTheme="majorHAnsi" w:hAnsiTheme="majorHAnsi" w:cstheme="majorHAnsi"/>
          <w:color w:val="000000" w:themeColor="text1"/>
          <w:lang w:val="en-US"/>
        </w:rPr>
        <w:t xml:space="preserve">. Genetic </w:t>
      </w:r>
      <w:r w:rsidR="0038717D" w:rsidRPr="00C1323F">
        <w:rPr>
          <w:rFonts w:asciiTheme="majorHAnsi" w:hAnsiTheme="majorHAnsi" w:cstheme="majorHAnsi"/>
          <w:color w:val="000000" w:themeColor="text1"/>
          <w:lang w:val="en-US"/>
        </w:rPr>
        <w:t>characterization</w:t>
      </w:r>
      <w:r w:rsidR="00C1323F" w:rsidRPr="00C1323F">
        <w:rPr>
          <w:rFonts w:asciiTheme="majorHAnsi" w:hAnsiTheme="majorHAnsi" w:cstheme="majorHAnsi"/>
          <w:color w:val="000000" w:themeColor="text1"/>
          <w:lang w:val="en-US"/>
        </w:rPr>
        <w:t xml:space="preserve"> of SARS-CoV-2 is used to monitor viral evolution and to timely identify potential markers of increased transmissibility, severity of disease or altered antigenicity. Sequence data will become increasingly important </w:t>
      </w:r>
      <w:r w:rsidR="00C0765A">
        <w:rPr>
          <w:rFonts w:asciiTheme="majorHAnsi" w:hAnsiTheme="majorHAnsi" w:cstheme="majorHAnsi"/>
          <w:color w:val="000000" w:themeColor="text1"/>
          <w:lang w:val="en-US"/>
        </w:rPr>
        <w:t>to assess</w:t>
      </w:r>
      <w:r w:rsidR="00C0765A" w:rsidRPr="00C1323F">
        <w:rPr>
          <w:rFonts w:asciiTheme="majorHAnsi" w:hAnsiTheme="majorHAnsi" w:cstheme="majorHAnsi"/>
          <w:color w:val="000000" w:themeColor="text1"/>
          <w:lang w:val="en-US"/>
        </w:rPr>
        <w:t xml:space="preserve"> the impact of mutations on the performance of antiviral drugs</w:t>
      </w:r>
      <w:r w:rsidR="00C0765A">
        <w:rPr>
          <w:rFonts w:asciiTheme="majorHAnsi" w:hAnsiTheme="majorHAnsi" w:cstheme="majorHAnsi"/>
          <w:color w:val="000000" w:themeColor="text1"/>
          <w:lang w:val="en-US"/>
        </w:rPr>
        <w:t xml:space="preserve"> and</w:t>
      </w:r>
      <w:r w:rsidR="00C0765A" w:rsidRPr="00C1323F">
        <w:rPr>
          <w:rFonts w:asciiTheme="majorHAnsi" w:hAnsiTheme="majorHAnsi" w:cstheme="majorHAnsi"/>
          <w:color w:val="000000" w:themeColor="text1"/>
          <w:lang w:val="en-US"/>
        </w:rPr>
        <w:t xml:space="preserve"> to monitor the match of the circulating variants with the vaccine</w:t>
      </w:r>
      <w:r w:rsidR="00C0765A">
        <w:rPr>
          <w:rFonts w:asciiTheme="majorHAnsi" w:hAnsiTheme="majorHAnsi" w:cstheme="majorHAnsi"/>
          <w:color w:val="000000" w:themeColor="text1"/>
          <w:lang w:val="en-US"/>
        </w:rPr>
        <w:t>.</w:t>
      </w:r>
      <w:r w:rsidR="00C0765A" w:rsidRPr="00C1323F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A85054" w:rsidRPr="00D02AAE">
        <w:rPr>
          <w:rFonts w:asciiTheme="majorHAnsi" w:hAnsiTheme="majorHAnsi" w:cstheme="majorHAnsi"/>
          <w:color w:val="000000" w:themeColor="text1"/>
          <w:lang w:val="en-US"/>
        </w:rPr>
        <w:t>Currently, whole genome sequencing (WGS) is being used as the main tool for epidemiological monitoring of SARS-CoV-2 variants. However, the relatively long turn-around-time for WGS makes identification of concerning variants lagged far behind laboratory COVID diagnosis.</w:t>
      </w:r>
    </w:p>
    <w:p w14:paraId="19C6BEE6" w14:textId="48A24BF1" w:rsidR="00A85054" w:rsidRDefault="00A85054" w:rsidP="00D02AA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D02AAE">
        <w:rPr>
          <w:rFonts w:asciiTheme="majorHAnsi" w:hAnsiTheme="majorHAnsi" w:cstheme="majorHAnsi"/>
          <w:color w:val="000000" w:themeColor="text1"/>
          <w:lang w:val="en-US"/>
        </w:rPr>
        <w:t xml:space="preserve">Recently, </w:t>
      </w:r>
      <w:proofErr w:type="gramStart"/>
      <w:r w:rsidRPr="00D02AAE">
        <w:rPr>
          <w:rFonts w:asciiTheme="majorHAnsi" w:hAnsiTheme="majorHAnsi" w:cstheme="majorHAnsi"/>
          <w:color w:val="000000" w:themeColor="text1"/>
          <w:lang w:val="en-US"/>
        </w:rPr>
        <w:t>faster</w:t>
      </w:r>
      <w:proofErr w:type="gramEnd"/>
      <w:r w:rsidRPr="00D02AAE">
        <w:rPr>
          <w:rFonts w:asciiTheme="majorHAnsi" w:hAnsiTheme="majorHAnsi" w:cstheme="majorHAnsi"/>
          <w:color w:val="000000" w:themeColor="text1"/>
          <w:lang w:val="en-US"/>
        </w:rPr>
        <w:t xml:space="preserve"> and simpler screening tool, such as PCR-based assays, have been developed for the </w:t>
      </w:r>
      <w:r w:rsidRPr="0038717D">
        <w:rPr>
          <w:rFonts w:asciiTheme="majorHAnsi" w:hAnsiTheme="majorHAnsi" w:cstheme="majorHAnsi"/>
          <w:color w:val="000000" w:themeColor="text1"/>
          <w:lang w:val="en-US"/>
        </w:rPr>
        <w:t>identification of signature mutations of VOC</w:t>
      </w:r>
      <w:r w:rsidR="00706DCF">
        <w:rPr>
          <w:rFonts w:asciiTheme="majorHAnsi" w:hAnsiTheme="majorHAnsi" w:cstheme="majorHAnsi"/>
          <w:color w:val="000000" w:themeColor="text1"/>
          <w:lang w:val="en-US"/>
        </w:rPr>
        <w:t>s</w:t>
      </w:r>
      <w:r w:rsidRPr="0038717D">
        <w:rPr>
          <w:rFonts w:asciiTheme="majorHAnsi" w:hAnsiTheme="majorHAnsi" w:cstheme="majorHAnsi"/>
          <w:color w:val="000000" w:themeColor="text1"/>
          <w:lang w:val="en-US"/>
        </w:rPr>
        <w:t>/VOIs</w:t>
      </w:r>
      <w:r w:rsidRPr="00D02AAE">
        <w:rPr>
          <w:rFonts w:asciiTheme="majorHAnsi" w:hAnsiTheme="majorHAnsi" w:cstheme="majorHAnsi"/>
          <w:color w:val="000000" w:themeColor="text1"/>
          <w:lang w:val="en-US"/>
        </w:rPr>
        <w:t xml:space="preserve"> that can be used in a high throughput fashion to increase the capacity of SARS-CoV-2 variant detection.</w:t>
      </w:r>
    </w:p>
    <w:p w14:paraId="04882F8C" w14:textId="23CBEF00" w:rsidR="00D02AAE" w:rsidRPr="00D02AAE" w:rsidRDefault="00B82CC4" w:rsidP="00D02AAE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D02AAE">
        <w:rPr>
          <w:rFonts w:asciiTheme="majorHAnsi" w:hAnsiTheme="majorHAnsi" w:cstheme="majorHAnsi"/>
          <w:color w:val="000000" w:themeColor="text1"/>
          <w:lang w:val="en-US"/>
        </w:rPr>
        <w:t xml:space="preserve">This research project involves </w:t>
      </w:r>
      <w:r w:rsidR="00D02AAE" w:rsidRPr="00D02AAE">
        <w:rPr>
          <w:rFonts w:asciiTheme="majorHAnsi" w:hAnsiTheme="majorHAnsi" w:cstheme="majorHAnsi"/>
          <w:color w:val="000000" w:themeColor="text1"/>
          <w:lang w:val="en-US"/>
        </w:rPr>
        <w:t xml:space="preserve">the establishment of a </w:t>
      </w:r>
      <w:r w:rsidR="00D02AAE">
        <w:rPr>
          <w:rFonts w:asciiTheme="majorHAnsi" w:hAnsiTheme="majorHAnsi" w:cstheme="majorHAnsi"/>
          <w:color w:val="000000" w:themeColor="text1"/>
          <w:lang w:val="en-US"/>
        </w:rPr>
        <w:t>w</w:t>
      </w:r>
      <w:r w:rsidR="00D02AAE" w:rsidRPr="00D02AAE">
        <w:rPr>
          <w:rFonts w:asciiTheme="majorHAnsi" w:hAnsiTheme="majorHAnsi" w:cstheme="majorHAnsi"/>
          <w:color w:val="000000" w:themeColor="text1"/>
          <w:lang w:val="en-US"/>
        </w:rPr>
        <w:t xml:space="preserve">orkflow for </w:t>
      </w:r>
      <w:r w:rsidR="00D02AAE" w:rsidRPr="00C1323F">
        <w:rPr>
          <w:rFonts w:asciiTheme="majorHAnsi" w:eastAsiaTheme="minorHAnsi" w:hAnsiTheme="majorHAnsi" w:cstheme="majorHAnsi"/>
          <w:color w:val="000000" w:themeColor="text1"/>
          <w:lang w:val="en-US" w:eastAsia="en-US"/>
        </w:rPr>
        <w:t xml:space="preserve">SARS-CoV-2 </w:t>
      </w:r>
      <w:r w:rsidR="00D02AAE" w:rsidRPr="00D02AAE">
        <w:rPr>
          <w:rFonts w:asciiTheme="majorHAnsi" w:hAnsiTheme="majorHAnsi" w:cstheme="majorHAnsi"/>
          <w:color w:val="000000" w:themeColor="text1"/>
          <w:lang w:val="en-US"/>
        </w:rPr>
        <w:t>variants testing by WGS and PCR-based assays to provide epidemiological data regarding the circulation and spread of current annotated VOCs</w:t>
      </w:r>
      <w:r w:rsidR="00706DCF">
        <w:rPr>
          <w:rFonts w:asciiTheme="majorHAnsi" w:hAnsiTheme="majorHAnsi" w:cstheme="majorHAnsi"/>
          <w:color w:val="000000" w:themeColor="text1"/>
          <w:lang w:val="en-US"/>
        </w:rPr>
        <w:t>/</w:t>
      </w:r>
      <w:r w:rsidR="00D02AAE" w:rsidRPr="00D02AAE">
        <w:rPr>
          <w:rFonts w:asciiTheme="majorHAnsi" w:hAnsiTheme="majorHAnsi" w:cstheme="majorHAnsi"/>
          <w:color w:val="000000" w:themeColor="text1"/>
          <w:lang w:val="en-US"/>
        </w:rPr>
        <w:t>VOIs and for identification of new emerging viral variants.</w:t>
      </w:r>
    </w:p>
    <w:p w14:paraId="35729E10" w14:textId="77777777" w:rsidR="00D02AAE" w:rsidRDefault="00D02AAE" w:rsidP="00C0765A">
      <w:pPr>
        <w:rPr>
          <w:lang w:val="en-GB"/>
        </w:rPr>
      </w:pPr>
    </w:p>
    <w:p w14:paraId="64131F7B" w14:textId="77777777" w:rsidR="00BE37CD" w:rsidRDefault="00BE37CD" w:rsidP="00C0765A">
      <w:pPr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53F1CE85" w14:textId="254F08D8" w:rsidR="00C0765A" w:rsidRPr="00A0075F" w:rsidRDefault="00A0075F" w:rsidP="00C0765A">
      <w:pPr>
        <w:rPr>
          <w:rFonts w:asciiTheme="majorHAnsi" w:hAnsiTheme="majorHAnsi" w:cstheme="majorHAnsi"/>
          <w:b/>
          <w:bCs/>
          <w:color w:val="000000" w:themeColor="text1"/>
          <w:lang w:val="en-US"/>
        </w:rPr>
      </w:pPr>
      <w:r w:rsidRPr="00A0075F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Research Activities </w:t>
      </w:r>
    </w:p>
    <w:p w14:paraId="4191E62F" w14:textId="77777777" w:rsidR="00700D4D" w:rsidRDefault="00700D4D" w:rsidP="00700D4D">
      <w:pPr>
        <w:spacing w:line="276" w:lineRule="auto"/>
        <w:jc w:val="both"/>
        <w:rPr>
          <w:rFonts w:asciiTheme="majorHAnsi" w:hAnsiTheme="majorHAnsi" w:cstheme="majorHAnsi"/>
          <w:b/>
          <w:bCs/>
          <w:color w:val="000000" w:themeColor="text1"/>
          <w:lang w:val="en-US"/>
        </w:rPr>
      </w:pPr>
    </w:p>
    <w:p w14:paraId="7C6BB3F0" w14:textId="1D3401B9" w:rsidR="00700D4D" w:rsidRPr="00BE37CD" w:rsidRDefault="00BE37CD" w:rsidP="00233113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lang w:val="en-US"/>
        </w:rPr>
      </w:pPr>
      <w:r w:rsidRPr="00BE37CD">
        <w:rPr>
          <w:rFonts w:asciiTheme="majorHAnsi" w:hAnsiTheme="majorHAnsi" w:cstheme="majorHAnsi"/>
          <w:color w:val="000000" w:themeColor="text1"/>
          <w:lang w:val="en-US"/>
        </w:rPr>
        <w:t>-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C0765A" w:rsidRPr="00BE37CD">
        <w:rPr>
          <w:rFonts w:asciiTheme="majorHAnsi" w:hAnsiTheme="majorHAnsi" w:cstheme="majorHAnsi"/>
          <w:color w:val="000000" w:themeColor="text1"/>
          <w:lang w:val="en-US"/>
        </w:rPr>
        <w:t>Sample selection</w:t>
      </w:r>
      <w:r w:rsidRPr="00BE37CD">
        <w:rPr>
          <w:rFonts w:asciiTheme="majorHAnsi" w:hAnsiTheme="majorHAnsi" w:cstheme="majorHAnsi"/>
          <w:color w:val="000000" w:themeColor="text1"/>
          <w:lang w:val="en-US"/>
        </w:rPr>
        <w:t>.</w:t>
      </w:r>
      <w:r w:rsidRPr="00BE37CD">
        <w:rPr>
          <w:rFonts w:asciiTheme="majorHAnsi" w:hAnsiTheme="majorHAnsi" w:cstheme="majorHAnsi"/>
          <w:b/>
          <w:bCs/>
          <w:color w:val="000000" w:themeColor="text1"/>
          <w:lang w:val="en-US"/>
        </w:rPr>
        <w:t xml:space="preserve"> </w:t>
      </w:r>
      <w:proofErr w:type="gramStart"/>
      <w:r w:rsidRPr="00BE37CD">
        <w:rPr>
          <w:rFonts w:asciiTheme="majorHAnsi" w:hAnsiTheme="majorHAnsi" w:cstheme="majorHAnsi"/>
          <w:color w:val="000000" w:themeColor="text1"/>
          <w:lang w:val="en-US"/>
        </w:rPr>
        <w:t>I</w:t>
      </w:r>
      <w:r w:rsidR="006A29BA" w:rsidRPr="00BE37CD">
        <w:rPr>
          <w:rFonts w:asciiTheme="majorHAnsi" w:hAnsiTheme="majorHAnsi" w:cstheme="majorHAnsi"/>
          <w:color w:val="000000" w:themeColor="text1"/>
          <w:lang w:val="en-US"/>
        </w:rPr>
        <w:t>n order to</w:t>
      </w:r>
      <w:proofErr w:type="gramEnd"/>
      <w:r w:rsidR="006A29BA" w:rsidRPr="00BE37CD">
        <w:rPr>
          <w:rFonts w:asciiTheme="majorHAnsi" w:hAnsiTheme="majorHAnsi" w:cstheme="majorHAnsi"/>
          <w:color w:val="000000" w:themeColor="text1"/>
          <w:lang w:val="en-US"/>
        </w:rPr>
        <w:t xml:space="preserve"> more effectively monitor virus evolution</w:t>
      </w:r>
      <w:r w:rsidR="00700D4D" w:rsidRPr="00BE37CD">
        <w:rPr>
          <w:rFonts w:asciiTheme="majorHAnsi" w:hAnsiTheme="majorHAnsi" w:cstheme="majorHAnsi"/>
          <w:color w:val="000000" w:themeColor="text1"/>
          <w:lang w:val="en-US"/>
        </w:rPr>
        <w:t xml:space="preserve">, samples </w:t>
      </w:r>
      <w:r w:rsidR="00EE00E7" w:rsidRPr="00BE37CD">
        <w:rPr>
          <w:rFonts w:asciiTheme="majorHAnsi" w:hAnsiTheme="majorHAnsi" w:cstheme="majorHAnsi"/>
          <w:color w:val="000000" w:themeColor="text1"/>
          <w:lang w:val="en-US"/>
        </w:rPr>
        <w:t>will</w:t>
      </w:r>
      <w:r w:rsidR="00700D4D" w:rsidRPr="00BE37CD">
        <w:rPr>
          <w:rFonts w:asciiTheme="majorHAnsi" w:hAnsiTheme="majorHAnsi" w:cstheme="majorHAnsi"/>
          <w:color w:val="000000" w:themeColor="text1"/>
          <w:lang w:val="en-US"/>
        </w:rPr>
        <w:t xml:space="preserve"> be selected from patients of varied demographics, across the disease severity spectrum, and from possible cases of reinfections and/or vaccine failures.</w:t>
      </w:r>
    </w:p>
    <w:p w14:paraId="74798C3E" w14:textId="17769E93" w:rsidR="00C0765A" w:rsidRPr="00C1323F" w:rsidRDefault="00BE37CD" w:rsidP="00233113">
      <w:pPr>
        <w:jc w:val="both"/>
        <w:rPr>
          <w:lang w:val="en-US"/>
        </w:rPr>
      </w:pPr>
      <w:r w:rsidRPr="00BE37CD">
        <w:rPr>
          <w:rFonts w:asciiTheme="majorHAnsi" w:hAnsiTheme="majorHAnsi" w:cstheme="majorHAnsi"/>
          <w:color w:val="000000" w:themeColor="text1"/>
          <w:lang w:val="en-US"/>
        </w:rPr>
        <w:t>-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F916E3" w:rsidRPr="00BE37CD">
        <w:rPr>
          <w:rFonts w:asciiTheme="majorHAnsi" w:hAnsiTheme="majorHAnsi" w:cstheme="majorHAnsi"/>
          <w:color w:val="000000" w:themeColor="text1"/>
          <w:lang w:val="en-US"/>
        </w:rPr>
        <w:t>I</w:t>
      </w:r>
      <w:r w:rsidR="001813E5" w:rsidRPr="00BE37CD">
        <w:rPr>
          <w:rFonts w:asciiTheme="majorHAnsi" w:hAnsiTheme="majorHAnsi" w:cstheme="majorHAnsi"/>
          <w:color w:val="000000" w:themeColor="text1"/>
          <w:lang w:val="en-US"/>
        </w:rPr>
        <w:t xml:space="preserve">dentification of SARS-CoV-2 </w:t>
      </w:r>
      <w:r w:rsidR="00F916E3" w:rsidRPr="00BE37CD">
        <w:rPr>
          <w:rFonts w:asciiTheme="majorHAnsi" w:hAnsiTheme="majorHAnsi" w:cstheme="majorHAnsi"/>
          <w:color w:val="000000" w:themeColor="text1"/>
          <w:lang w:val="en-US"/>
        </w:rPr>
        <w:t>variants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  <w:r w:rsidR="00E14ACD">
        <w:rPr>
          <w:rFonts w:asciiTheme="majorHAnsi" w:hAnsiTheme="majorHAnsi" w:cstheme="majorHAnsi"/>
          <w:color w:val="000000" w:themeColor="text1"/>
          <w:lang w:val="en-US"/>
        </w:rPr>
        <w:t xml:space="preserve">Implementation of </w:t>
      </w:r>
      <w:r w:rsidR="00EE00E7" w:rsidRPr="001813E5">
        <w:rPr>
          <w:rFonts w:asciiTheme="majorHAnsi" w:hAnsiTheme="majorHAnsi" w:cstheme="majorHAnsi"/>
          <w:color w:val="000000" w:themeColor="text1"/>
          <w:lang w:val="en-US"/>
        </w:rPr>
        <w:t>Next-generation sequencing (NGS)</w:t>
      </w:r>
      <w:r w:rsidR="00E14ACD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E14ACD" w:rsidRPr="00E14ACD">
        <w:rPr>
          <w:rFonts w:asciiTheme="majorHAnsi" w:hAnsiTheme="majorHAnsi" w:cstheme="majorHAnsi"/>
          <w:color w:val="000000" w:themeColor="text1"/>
          <w:lang w:val="en-US"/>
        </w:rPr>
        <w:t xml:space="preserve">methodology to </w:t>
      </w:r>
      <w:r w:rsidR="00E14ACD" w:rsidRPr="001813E5">
        <w:rPr>
          <w:rFonts w:asciiTheme="majorHAnsi" w:hAnsiTheme="majorHAnsi" w:cstheme="majorHAnsi"/>
          <w:color w:val="000000" w:themeColor="text1"/>
          <w:lang w:val="en-US"/>
        </w:rPr>
        <w:t>analyze</w:t>
      </w:r>
      <w:r w:rsidR="00EE00E7" w:rsidRPr="001813E5">
        <w:rPr>
          <w:rFonts w:asciiTheme="majorHAnsi" w:hAnsiTheme="majorHAnsi" w:cstheme="majorHAnsi"/>
          <w:color w:val="000000" w:themeColor="text1"/>
          <w:lang w:val="en-US"/>
        </w:rPr>
        <w:t xml:space="preserve"> complete SARS-CoV-2 genome</w:t>
      </w:r>
      <w:r w:rsidR="00E14ACD">
        <w:rPr>
          <w:rFonts w:asciiTheme="majorHAnsi" w:hAnsiTheme="majorHAnsi" w:cstheme="majorHAnsi"/>
          <w:color w:val="000000" w:themeColor="text1"/>
          <w:lang w:val="en-US"/>
        </w:rPr>
        <w:t>s</w:t>
      </w:r>
      <w:r w:rsidR="001813E5" w:rsidRPr="001813E5"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  <w:r w:rsidR="00E14ACD">
        <w:rPr>
          <w:rFonts w:asciiTheme="majorHAnsi" w:hAnsiTheme="majorHAnsi" w:cstheme="majorHAnsi"/>
          <w:color w:val="000000" w:themeColor="text1"/>
          <w:lang w:val="en-US"/>
        </w:rPr>
        <w:t xml:space="preserve">Evaluation and implementation of </w:t>
      </w:r>
      <w:r w:rsidR="00F916E3" w:rsidRPr="00E14ACD">
        <w:rPr>
          <w:rFonts w:asciiTheme="majorHAnsi" w:hAnsiTheme="majorHAnsi" w:cstheme="majorHAnsi"/>
          <w:color w:val="000000" w:themeColor="text1"/>
          <w:lang w:val="en-US"/>
        </w:rPr>
        <w:t>RT-PCR based assays</w:t>
      </w:r>
      <w:r w:rsidR="00E14ACD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E14ACD" w:rsidRPr="00E14ACD">
        <w:rPr>
          <w:rFonts w:asciiTheme="majorHAnsi" w:hAnsiTheme="majorHAnsi" w:cstheme="majorHAnsi"/>
          <w:color w:val="000000" w:themeColor="text1"/>
          <w:lang w:val="en-US"/>
        </w:rPr>
        <w:t xml:space="preserve">for the </w:t>
      </w:r>
      <w:r w:rsidR="00E14ACD" w:rsidRPr="0038717D">
        <w:rPr>
          <w:rFonts w:asciiTheme="majorHAnsi" w:hAnsiTheme="majorHAnsi" w:cstheme="majorHAnsi"/>
          <w:color w:val="000000" w:themeColor="text1"/>
          <w:lang w:val="en-US"/>
        </w:rPr>
        <w:t>identification of signature mutations of VOC</w:t>
      </w:r>
      <w:r w:rsidR="00706DCF">
        <w:rPr>
          <w:rFonts w:asciiTheme="majorHAnsi" w:hAnsiTheme="majorHAnsi" w:cstheme="majorHAnsi"/>
          <w:color w:val="000000" w:themeColor="text1"/>
          <w:lang w:val="en-US"/>
        </w:rPr>
        <w:t>s</w:t>
      </w:r>
      <w:r w:rsidR="00E14ACD" w:rsidRPr="0038717D">
        <w:rPr>
          <w:rFonts w:asciiTheme="majorHAnsi" w:hAnsiTheme="majorHAnsi" w:cstheme="majorHAnsi"/>
          <w:color w:val="000000" w:themeColor="text1"/>
          <w:lang w:val="en-US"/>
        </w:rPr>
        <w:t>/VOIs</w:t>
      </w:r>
      <w:r w:rsidR="00E14ACD" w:rsidRPr="00E14ACD">
        <w:rPr>
          <w:rFonts w:asciiTheme="majorHAnsi" w:hAnsiTheme="majorHAnsi" w:cstheme="majorHAnsi"/>
          <w:color w:val="000000" w:themeColor="text1"/>
          <w:lang w:val="en-US"/>
        </w:rPr>
        <w:t>.</w:t>
      </w:r>
    </w:p>
    <w:p w14:paraId="63C8253E" w14:textId="2F99F116" w:rsidR="007732A8" w:rsidRDefault="00BE37CD" w:rsidP="00233113">
      <w:pPr>
        <w:jc w:val="both"/>
        <w:rPr>
          <w:lang w:val="en-US"/>
        </w:rPr>
      </w:pPr>
      <w:r w:rsidRPr="00BE37CD">
        <w:rPr>
          <w:rFonts w:asciiTheme="majorHAnsi" w:hAnsiTheme="majorHAnsi" w:cstheme="majorHAnsi"/>
          <w:color w:val="000000" w:themeColor="text1"/>
          <w:lang w:val="en-US"/>
        </w:rPr>
        <w:t>-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C0765A" w:rsidRPr="00C1323F">
        <w:rPr>
          <w:rFonts w:asciiTheme="majorHAnsi" w:hAnsiTheme="majorHAnsi" w:cstheme="majorHAnsi"/>
          <w:color w:val="000000" w:themeColor="text1"/>
          <w:lang w:val="en-US"/>
        </w:rPr>
        <w:t>Data-sharing and reporting</w:t>
      </w:r>
      <w:r>
        <w:rPr>
          <w:rFonts w:asciiTheme="majorHAnsi" w:hAnsiTheme="majorHAnsi" w:cstheme="majorHAnsi"/>
          <w:color w:val="000000" w:themeColor="text1"/>
          <w:lang w:val="en-US"/>
        </w:rPr>
        <w:t xml:space="preserve">. </w:t>
      </w:r>
      <w:r w:rsidR="001813E5" w:rsidRPr="001813E5">
        <w:rPr>
          <w:rFonts w:asciiTheme="majorHAnsi" w:hAnsiTheme="majorHAnsi" w:cstheme="majorHAnsi"/>
          <w:color w:val="000000" w:themeColor="text1"/>
          <w:lang w:val="en-US"/>
        </w:rPr>
        <w:t xml:space="preserve">Consensus sequences will be shared in the GISAID </w:t>
      </w:r>
      <w:proofErr w:type="spellStart"/>
      <w:r w:rsidR="001813E5" w:rsidRPr="001813E5">
        <w:rPr>
          <w:rFonts w:asciiTheme="majorHAnsi" w:hAnsiTheme="majorHAnsi" w:cstheme="majorHAnsi"/>
          <w:color w:val="000000" w:themeColor="text1"/>
          <w:lang w:val="en-US"/>
        </w:rPr>
        <w:t>EpiCov</w:t>
      </w:r>
      <w:proofErr w:type="spellEnd"/>
      <w:r w:rsidR="001813E5" w:rsidRPr="001813E5">
        <w:rPr>
          <w:rFonts w:asciiTheme="majorHAnsi" w:hAnsiTheme="majorHAnsi" w:cstheme="majorHAnsi"/>
          <w:color w:val="000000" w:themeColor="text1"/>
          <w:lang w:val="en-US"/>
        </w:rPr>
        <w:t xml:space="preserve"> database (www.gisaid.org) to enable global phylogenetic analysis as well as in regional and national platforms for a prompt monitoring of virus variants circulation</w:t>
      </w:r>
      <w:r w:rsidR="001813E5">
        <w:rPr>
          <w:lang w:val="en-US"/>
        </w:rPr>
        <w:t>.</w:t>
      </w:r>
    </w:p>
    <w:p w14:paraId="7361F34A" w14:textId="77777777" w:rsidR="007732A8" w:rsidRPr="007732A8" w:rsidRDefault="007732A8" w:rsidP="007732A8">
      <w:pPr>
        <w:rPr>
          <w:b/>
        </w:rPr>
      </w:pPr>
      <w:r w:rsidRPr="007732A8">
        <w:rPr>
          <w:b/>
        </w:rPr>
        <w:lastRenderedPageBreak/>
        <w:t>Figura 1. Piano delle attività</w:t>
      </w:r>
    </w:p>
    <w:p w14:paraId="0FBF486F" w14:textId="77777777" w:rsidR="007732A8" w:rsidRPr="007732A8" w:rsidRDefault="007732A8" w:rsidP="007732A8"/>
    <w:p w14:paraId="384A8931" w14:textId="77777777" w:rsidR="007732A8" w:rsidRPr="007732A8" w:rsidRDefault="007732A8" w:rsidP="007732A8"/>
    <w:tbl>
      <w:tblPr>
        <w:tblpPr w:leftFromText="141" w:rightFromText="141" w:vertAnchor="text" w:tblpXSpec="center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390"/>
        <w:gridCol w:w="334"/>
        <w:gridCol w:w="334"/>
        <w:gridCol w:w="333"/>
        <w:gridCol w:w="333"/>
        <w:gridCol w:w="333"/>
        <w:gridCol w:w="333"/>
        <w:gridCol w:w="333"/>
        <w:gridCol w:w="333"/>
        <w:gridCol w:w="487"/>
        <w:gridCol w:w="425"/>
        <w:gridCol w:w="567"/>
      </w:tblGrid>
      <w:tr w:rsidR="007732A8" w:rsidRPr="007732A8" w14:paraId="6330776C" w14:textId="77777777" w:rsidTr="007732A8">
        <w:trPr>
          <w:trHeight w:val="131"/>
        </w:trPr>
        <w:tc>
          <w:tcPr>
            <w:tcW w:w="46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7DDF7D" w14:textId="77777777" w:rsidR="007732A8" w:rsidRPr="007732A8" w:rsidRDefault="007732A8" w:rsidP="007732A8">
            <w:pPr>
              <w:rPr>
                <w:lang w:val="en-GB"/>
              </w:rPr>
            </w:pPr>
          </w:p>
        </w:tc>
        <w:tc>
          <w:tcPr>
            <w:tcW w:w="4535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14:paraId="5DF38B36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MESI</w:t>
            </w:r>
          </w:p>
        </w:tc>
      </w:tr>
      <w:tr w:rsidR="007732A8" w:rsidRPr="007732A8" w14:paraId="583FEFC8" w14:textId="77777777" w:rsidTr="007732A8">
        <w:trPr>
          <w:trHeight w:val="268"/>
        </w:trPr>
        <w:tc>
          <w:tcPr>
            <w:tcW w:w="46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625E26" w14:textId="77777777" w:rsidR="007732A8" w:rsidRPr="007732A8" w:rsidRDefault="007732A8" w:rsidP="007732A8">
            <w:pPr>
              <w:rPr>
                <w:lang w:val="en-GB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auto"/>
          </w:tcPr>
          <w:p w14:paraId="39C2B192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1</w:t>
            </w:r>
          </w:p>
        </w:tc>
        <w:tc>
          <w:tcPr>
            <w:tcW w:w="334" w:type="dxa"/>
            <w:shd w:val="clear" w:color="auto" w:fill="auto"/>
          </w:tcPr>
          <w:p w14:paraId="7D22F8BD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14:paraId="41AD6E89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35764B9F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4</w:t>
            </w:r>
          </w:p>
        </w:tc>
        <w:tc>
          <w:tcPr>
            <w:tcW w:w="333" w:type="dxa"/>
            <w:shd w:val="clear" w:color="auto" w:fill="auto"/>
          </w:tcPr>
          <w:p w14:paraId="163FE20A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5</w:t>
            </w:r>
          </w:p>
        </w:tc>
        <w:tc>
          <w:tcPr>
            <w:tcW w:w="333" w:type="dxa"/>
            <w:shd w:val="clear" w:color="auto" w:fill="auto"/>
          </w:tcPr>
          <w:p w14:paraId="2BCF53DB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6</w:t>
            </w:r>
          </w:p>
        </w:tc>
        <w:tc>
          <w:tcPr>
            <w:tcW w:w="333" w:type="dxa"/>
            <w:shd w:val="clear" w:color="auto" w:fill="auto"/>
          </w:tcPr>
          <w:p w14:paraId="4BD0B134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7</w:t>
            </w:r>
          </w:p>
        </w:tc>
        <w:tc>
          <w:tcPr>
            <w:tcW w:w="333" w:type="dxa"/>
            <w:shd w:val="clear" w:color="auto" w:fill="auto"/>
          </w:tcPr>
          <w:p w14:paraId="202AFE05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8</w:t>
            </w:r>
          </w:p>
        </w:tc>
        <w:tc>
          <w:tcPr>
            <w:tcW w:w="333" w:type="dxa"/>
            <w:shd w:val="clear" w:color="auto" w:fill="auto"/>
          </w:tcPr>
          <w:p w14:paraId="2C5FCF66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9</w:t>
            </w:r>
          </w:p>
        </w:tc>
        <w:tc>
          <w:tcPr>
            <w:tcW w:w="487" w:type="dxa"/>
            <w:shd w:val="clear" w:color="auto" w:fill="auto"/>
          </w:tcPr>
          <w:p w14:paraId="72A43DC4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21E26D82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68FDDE3" w14:textId="77777777" w:rsidR="007732A8" w:rsidRPr="007732A8" w:rsidRDefault="007732A8" w:rsidP="007732A8">
            <w:pPr>
              <w:rPr>
                <w:lang w:val="en-GB"/>
              </w:rPr>
            </w:pPr>
            <w:r w:rsidRPr="007732A8">
              <w:rPr>
                <w:lang w:val="en-GB"/>
              </w:rPr>
              <w:t>12</w:t>
            </w:r>
          </w:p>
        </w:tc>
      </w:tr>
      <w:tr w:rsidR="007732A8" w:rsidRPr="007732A8" w14:paraId="2CB9FC4F" w14:textId="77777777" w:rsidTr="007732A8">
        <w:trPr>
          <w:trHeight w:val="552"/>
        </w:trPr>
        <w:tc>
          <w:tcPr>
            <w:tcW w:w="4679" w:type="dxa"/>
            <w:shd w:val="clear" w:color="auto" w:fill="auto"/>
            <w:vAlign w:val="center"/>
          </w:tcPr>
          <w:p w14:paraId="27DEACD7" w14:textId="3B5A1690" w:rsidR="007732A8" w:rsidRPr="007732A8" w:rsidRDefault="007732A8" w:rsidP="007732A8">
            <w:r>
              <w:t>S</w:t>
            </w:r>
            <w:r w:rsidRPr="007732A8">
              <w:t>elezione</w:t>
            </w:r>
            <w:r>
              <w:t xml:space="preserve"> random o mirata dei campioni</w:t>
            </w:r>
          </w:p>
        </w:tc>
        <w:tc>
          <w:tcPr>
            <w:tcW w:w="390" w:type="dxa"/>
            <w:shd w:val="clear" w:color="auto" w:fill="FF0000"/>
          </w:tcPr>
          <w:p w14:paraId="24997E23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4" w:type="dxa"/>
            <w:shd w:val="clear" w:color="auto" w:fill="FF0000"/>
          </w:tcPr>
          <w:p w14:paraId="2F88C9E0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4" w:type="dxa"/>
            <w:shd w:val="clear" w:color="auto" w:fill="FF0000"/>
          </w:tcPr>
          <w:p w14:paraId="2DB562F4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0000"/>
          </w:tcPr>
          <w:p w14:paraId="22A1F68C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0000"/>
          </w:tcPr>
          <w:p w14:paraId="3A7C0C69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0000"/>
          </w:tcPr>
          <w:p w14:paraId="43F4F0C9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0000"/>
          </w:tcPr>
          <w:p w14:paraId="26C6244A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0000"/>
          </w:tcPr>
          <w:p w14:paraId="1A6AF97C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0000"/>
          </w:tcPr>
          <w:p w14:paraId="14F1D248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487" w:type="dxa"/>
            <w:shd w:val="clear" w:color="auto" w:fill="FF0000"/>
          </w:tcPr>
          <w:p w14:paraId="1C1CCB88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425" w:type="dxa"/>
            <w:shd w:val="clear" w:color="auto" w:fill="FF0000"/>
          </w:tcPr>
          <w:p w14:paraId="17B8DCCD" w14:textId="77777777" w:rsidR="007732A8" w:rsidRPr="007732A8" w:rsidRDefault="007732A8" w:rsidP="007732A8"/>
        </w:tc>
        <w:tc>
          <w:tcPr>
            <w:tcW w:w="567" w:type="dxa"/>
            <w:shd w:val="clear" w:color="auto" w:fill="FF0000"/>
          </w:tcPr>
          <w:p w14:paraId="29FB6763" w14:textId="77777777" w:rsidR="007732A8" w:rsidRPr="007732A8" w:rsidRDefault="007732A8" w:rsidP="007732A8"/>
        </w:tc>
      </w:tr>
      <w:tr w:rsidR="007732A8" w:rsidRPr="007732A8" w14:paraId="3E6479C2" w14:textId="77777777" w:rsidTr="007732A8">
        <w:trPr>
          <w:trHeight w:val="635"/>
        </w:trPr>
        <w:tc>
          <w:tcPr>
            <w:tcW w:w="4679" w:type="dxa"/>
            <w:shd w:val="clear" w:color="auto" w:fill="auto"/>
            <w:vAlign w:val="center"/>
          </w:tcPr>
          <w:p w14:paraId="0D7D551F" w14:textId="7E9BFC0C" w:rsidR="007732A8" w:rsidRPr="007732A8" w:rsidRDefault="007732A8" w:rsidP="007732A8">
            <w:r>
              <w:t>Esecuzione</w:t>
            </w:r>
            <w:r w:rsidRPr="007732A8">
              <w:t xml:space="preserve"> dei </w:t>
            </w:r>
            <w:r>
              <w:t>test (RT-PCR Real Time &amp; NGS)</w:t>
            </w:r>
          </w:p>
        </w:tc>
        <w:tc>
          <w:tcPr>
            <w:tcW w:w="390" w:type="dxa"/>
            <w:shd w:val="clear" w:color="auto" w:fill="00FF00"/>
          </w:tcPr>
          <w:p w14:paraId="1C372F40" w14:textId="77777777" w:rsidR="007732A8" w:rsidRPr="007732A8" w:rsidRDefault="007732A8" w:rsidP="007732A8"/>
        </w:tc>
        <w:tc>
          <w:tcPr>
            <w:tcW w:w="334" w:type="dxa"/>
            <w:shd w:val="clear" w:color="auto" w:fill="00FF00"/>
          </w:tcPr>
          <w:p w14:paraId="0C1C6B71" w14:textId="77777777" w:rsidR="007732A8" w:rsidRPr="007732A8" w:rsidRDefault="007732A8" w:rsidP="007732A8"/>
        </w:tc>
        <w:tc>
          <w:tcPr>
            <w:tcW w:w="334" w:type="dxa"/>
            <w:shd w:val="clear" w:color="auto" w:fill="00FF00"/>
          </w:tcPr>
          <w:p w14:paraId="39528294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00FF00"/>
          </w:tcPr>
          <w:p w14:paraId="2D6827E8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00FF00"/>
          </w:tcPr>
          <w:p w14:paraId="0FCFB558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00FF00"/>
          </w:tcPr>
          <w:p w14:paraId="2E6C9E14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00FF00"/>
          </w:tcPr>
          <w:p w14:paraId="17F92615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00FF00"/>
          </w:tcPr>
          <w:p w14:paraId="4C36ABAD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00FF00"/>
          </w:tcPr>
          <w:p w14:paraId="6864E097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487" w:type="dxa"/>
            <w:shd w:val="clear" w:color="auto" w:fill="00FF00"/>
          </w:tcPr>
          <w:p w14:paraId="0108EB68" w14:textId="77777777" w:rsidR="007732A8" w:rsidRPr="007732A8" w:rsidRDefault="007732A8" w:rsidP="007732A8"/>
        </w:tc>
        <w:tc>
          <w:tcPr>
            <w:tcW w:w="425" w:type="dxa"/>
            <w:shd w:val="clear" w:color="auto" w:fill="00FF00"/>
          </w:tcPr>
          <w:p w14:paraId="4E3BB37F" w14:textId="77777777" w:rsidR="007732A8" w:rsidRPr="007732A8" w:rsidRDefault="007732A8" w:rsidP="007732A8"/>
        </w:tc>
        <w:tc>
          <w:tcPr>
            <w:tcW w:w="567" w:type="dxa"/>
            <w:shd w:val="clear" w:color="auto" w:fill="00FF00"/>
          </w:tcPr>
          <w:p w14:paraId="6361EA40" w14:textId="77777777" w:rsidR="007732A8" w:rsidRPr="007732A8" w:rsidRDefault="007732A8" w:rsidP="007732A8"/>
        </w:tc>
      </w:tr>
      <w:tr w:rsidR="007732A8" w:rsidRPr="007732A8" w14:paraId="198EB406" w14:textId="77777777" w:rsidTr="007732A8">
        <w:trPr>
          <w:trHeight w:val="575"/>
        </w:trPr>
        <w:tc>
          <w:tcPr>
            <w:tcW w:w="4679" w:type="dxa"/>
            <w:shd w:val="clear" w:color="auto" w:fill="auto"/>
            <w:vAlign w:val="center"/>
          </w:tcPr>
          <w:p w14:paraId="2F9FDF85" w14:textId="7FD39EDD" w:rsidR="007732A8" w:rsidRPr="007732A8" w:rsidRDefault="007732A8" w:rsidP="007732A8">
            <w:r w:rsidRPr="007732A8">
              <w:t>Analisi dei dati</w:t>
            </w:r>
            <w:r w:rsidRPr="007732A8">
              <w:t xml:space="preserve"> e c</w:t>
            </w:r>
            <w:r>
              <w:t>aricamento sulle piattaforme ICOGEN e GISAID</w:t>
            </w:r>
          </w:p>
        </w:tc>
        <w:tc>
          <w:tcPr>
            <w:tcW w:w="390" w:type="dxa"/>
            <w:shd w:val="clear" w:color="auto" w:fill="FFFF00"/>
          </w:tcPr>
          <w:p w14:paraId="234EB534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4" w:type="dxa"/>
            <w:shd w:val="clear" w:color="auto" w:fill="FFFF00"/>
          </w:tcPr>
          <w:p w14:paraId="1D8A5519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4" w:type="dxa"/>
            <w:shd w:val="clear" w:color="auto" w:fill="FFFF00"/>
          </w:tcPr>
          <w:p w14:paraId="5EEF6550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FF00"/>
          </w:tcPr>
          <w:p w14:paraId="210EA7F9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FF00"/>
          </w:tcPr>
          <w:p w14:paraId="4A4EC33D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FF00"/>
          </w:tcPr>
          <w:p w14:paraId="4AA4D573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FF00"/>
          </w:tcPr>
          <w:p w14:paraId="309D71E6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FF00"/>
          </w:tcPr>
          <w:p w14:paraId="23274538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333" w:type="dxa"/>
            <w:shd w:val="clear" w:color="auto" w:fill="FFFF00"/>
          </w:tcPr>
          <w:p w14:paraId="349745D1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487" w:type="dxa"/>
            <w:shd w:val="clear" w:color="auto" w:fill="FFFF00"/>
          </w:tcPr>
          <w:p w14:paraId="2A5E3FEA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425" w:type="dxa"/>
            <w:shd w:val="clear" w:color="auto" w:fill="FFFF00"/>
          </w:tcPr>
          <w:p w14:paraId="7CC6B771" w14:textId="77777777" w:rsidR="007732A8" w:rsidRPr="007732A8" w:rsidRDefault="007732A8" w:rsidP="007732A8">
            <w:r w:rsidRPr="007732A8">
              <w:t> </w:t>
            </w:r>
          </w:p>
        </w:tc>
        <w:tc>
          <w:tcPr>
            <w:tcW w:w="567" w:type="dxa"/>
            <w:shd w:val="clear" w:color="auto" w:fill="FFFF00"/>
          </w:tcPr>
          <w:p w14:paraId="6E78562B" w14:textId="77777777" w:rsidR="007732A8" w:rsidRPr="007732A8" w:rsidRDefault="007732A8" w:rsidP="007732A8">
            <w:r w:rsidRPr="007732A8">
              <w:t> </w:t>
            </w:r>
          </w:p>
        </w:tc>
      </w:tr>
    </w:tbl>
    <w:p w14:paraId="129CFC29" w14:textId="77777777" w:rsidR="007732A8" w:rsidRPr="007732A8" w:rsidRDefault="007732A8" w:rsidP="007732A8"/>
    <w:p w14:paraId="3FC29562" w14:textId="77777777" w:rsidR="007732A8" w:rsidRPr="007732A8" w:rsidRDefault="007732A8">
      <w:r w:rsidRPr="007732A8">
        <w:br w:type="page"/>
      </w:r>
    </w:p>
    <w:p w14:paraId="50F0592D" w14:textId="77777777" w:rsidR="0009686B" w:rsidRPr="007732A8" w:rsidRDefault="007732A8" w:rsidP="00233113">
      <w:pPr>
        <w:jc w:val="both"/>
      </w:pPr>
    </w:p>
    <w:sectPr w:rsidR="0009686B" w:rsidRPr="007732A8" w:rsidSect="00265D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570B"/>
    <w:multiLevelType w:val="hybridMultilevel"/>
    <w:tmpl w:val="E528DB2C"/>
    <w:lvl w:ilvl="0" w:tplc="32D216D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3F"/>
    <w:rsid w:val="00064DCB"/>
    <w:rsid w:val="000C4CEA"/>
    <w:rsid w:val="001813E5"/>
    <w:rsid w:val="001A3022"/>
    <w:rsid w:val="001D3DEB"/>
    <w:rsid w:val="00233113"/>
    <w:rsid w:val="00265D27"/>
    <w:rsid w:val="003202B4"/>
    <w:rsid w:val="0038717D"/>
    <w:rsid w:val="006A29BA"/>
    <w:rsid w:val="00700D4D"/>
    <w:rsid w:val="00706DCF"/>
    <w:rsid w:val="0075421B"/>
    <w:rsid w:val="007732A8"/>
    <w:rsid w:val="007B6AF2"/>
    <w:rsid w:val="009F5667"/>
    <w:rsid w:val="00A0075F"/>
    <w:rsid w:val="00A85054"/>
    <w:rsid w:val="00B82CC4"/>
    <w:rsid w:val="00B97F3A"/>
    <w:rsid w:val="00BA7B1E"/>
    <w:rsid w:val="00BE37CD"/>
    <w:rsid w:val="00C0765A"/>
    <w:rsid w:val="00C1323F"/>
    <w:rsid w:val="00D02AAE"/>
    <w:rsid w:val="00E14ACD"/>
    <w:rsid w:val="00EE00E7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DA039E"/>
  <w15:chartTrackingRefBased/>
  <w15:docId w15:val="{47A30012-BAC5-DC46-9E8F-8F16C1F3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AC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Giada Rossini</dc:creator>
  <cp:keywords/>
  <dc:description/>
  <cp:lastModifiedBy>Tiziana Lazzarotto</cp:lastModifiedBy>
  <cp:revision>2</cp:revision>
  <dcterms:created xsi:type="dcterms:W3CDTF">2022-05-15T13:58:00Z</dcterms:created>
  <dcterms:modified xsi:type="dcterms:W3CDTF">2022-05-15T13:58:00Z</dcterms:modified>
</cp:coreProperties>
</file>