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48" w:rsidRPr="006F4AE7" w:rsidRDefault="00275548" w:rsidP="004F37F3">
      <w:pPr>
        <w:jc w:val="both"/>
        <w:rPr>
          <w:sz w:val="24"/>
          <w:szCs w:val="24"/>
        </w:rPr>
      </w:pPr>
      <w:r w:rsidRPr="006F4AE7">
        <w:rPr>
          <w:sz w:val="24"/>
          <w:szCs w:val="24"/>
        </w:rPr>
        <w:t xml:space="preserve">Richiesta Assegno di ricerca – Tutor Prof.ssa Giovanna Cenacchi </w:t>
      </w:r>
    </w:p>
    <w:p w:rsidR="00275548" w:rsidRPr="006F4AE7" w:rsidRDefault="00B930EE" w:rsidP="004F37F3">
      <w:pPr>
        <w:jc w:val="both"/>
        <w:rPr>
          <w:sz w:val="24"/>
          <w:szCs w:val="24"/>
          <w:u w:val="single"/>
          <w:lang w:val="en-GB"/>
        </w:rPr>
      </w:pPr>
      <w:proofErr w:type="spellStart"/>
      <w:r>
        <w:rPr>
          <w:sz w:val="24"/>
          <w:szCs w:val="24"/>
          <w:u w:val="single"/>
          <w:lang w:val="en-GB"/>
        </w:rPr>
        <w:t>Progetto</w:t>
      </w:r>
      <w:proofErr w:type="spellEnd"/>
    </w:p>
    <w:p w:rsidR="00275548" w:rsidRPr="006F4AE7" w:rsidRDefault="00275548" w:rsidP="004F37F3">
      <w:pPr>
        <w:rPr>
          <w:i/>
          <w:sz w:val="24"/>
          <w:szCs w:val="24"/>
          <w:lang w:val="en-US"/>
        </w:rPr>
      </w:pPr>
      <w:r w:rsidRPr="006F4AE7">
        <w:rPr>
          <w:i/>
          <w:sz w:val="24"/>
          <w:szCs w:val="24"/>
          <w:lang w:val="en-US"/>
        </w:rPr>
        <w:t>“</w:t>
      </w:r>
      <w:proofErr w:type="spellStart"/>
      <w:r w:rsidRPr="006F4AE7">
        <w:rPr>
          <w:sz w:val="24"/>
          <w:szCs w:val="24"/>
          <w:lang w:val="en-US" w:eastAsia="it-IT"/>
        </w:rPr>
        <w:t>Pathogenetic</w:t>
      </w:r>
      <w:proofErr w:type="spellEnd"/>
      <w:r w:rsidRPr="006F4AE7">
        <w:rPr>
          <w:sz w:val="24"/>
          <w:szCs w:val="24"/>
          <w:lang w:val="en-US" w:eastAsia="it-IT"/>
        </w:rPr>
        <w:t xml:space="preserve"> mechanism of Limb Girdle Muscular Dystrophy 1F/D2: functional characterization of </w:t>
      </w:r>
      <w:proofErr w:type="spellStart"/>
      <w:r w:rsidRPr="006F4AE7">
        <w:rPr>
          <w:sz w:val="24"/>
          <w:szCs w:val="24"/>
          <w:lang w:val="en-US" w:eastAsia="it-IT"/>
        </w:rPr>
        <w:t>Transportin</w:t>
      </w:r>
      <w:proofErr w:type="spellEnd"/>
      <w:r w:rsidRPr="006F4AE7">
        <w:rPr>
          <w:sz w:val="24"/>
          <w:szCs w:val="24"/>
          <w:lang w:val="en-US" w:eastAsia="it-IT"/>
        </w:rPr>
        <w:t xml:space="preserve"> </w:t>
      </w:r>
      <w:smartTag w:uri="urn:schemas-microsoft-com:office:smarttags" w:element="metricconverter">
        <w:smartTagPr>
          <w:attr w:name="ProductID" w:val="3 in"/>
        </w:smartTagPr>
        <w:r w:rsidRPr="006F4AE7">
          <w:rPr>
            <w:sz w:val="24"/>
            <w:szCs w:val="24"/>
            <w:lang w:val="en-US" w:eastAsia="it-IT"/>
          </w:rPr>
          <w:t>3 in</w:t>
        </w:r>
      </w:smartTag>
      <w:r w:rsidRPr="006F4AE7">
        <w:rPr>
          <w:sz w:val="24"/>
          <w:szCs w:val="24"/>
          <w:lang w:val="en-US" w:eastAsia="it-IT"/>
        </w:rPr>
        <w:t xml:space="preserve"> cellular and animal models of disease</w:t>
      </w:r>
      <w:r w:rsidRPr="006F4AE7">
        <w:rPr>
          <w:i/>
          <w:sz w:val="24"/>
          <w:szCs w:val="24"/>
          <w:lang w:val="en-US"/>
        </w:rPr>
        <w:t>”</w:t>
      </w:r>
    </w:p>
    <w:p w:rsidR="00275548" w:rsidRPr="006F4AE7" w:rsidRDefault="00275548" w:rsidP="004F37F3">
      <w:pPr>
        <w:rPr>
          <w:i/>
          <w:sz w:val="24"/>
          <w:szCs w:val="24"/>
        </w:rPr>
      </w:pPr>
      <w:r w:rsidRPr="006F4AE7">
        <w:rPr>
          <w:i/>
          <w:sz w:val="24"/>
          <w:szCs w:val="24"/>
          <w:lang w:val="en-GB"/>
        </w:rPr>
        <w:t xml:space="preserve"> </w:t>
      </w:r>
      <w:r w:rsidRPr="006F4AE7">
        <w:rPr>
          <w:i/>
          <w:sz w:val="24"/>
          <w:szCs w:val="24"/>
        </w:rPr>
        <w:t xml:space="preserve">“Meccanismo patogenetico della Distrofia Muscolare dei Cingoli 1F/2D: caratterizzazione funzionale della </w:t>
      </w:r>
      <w:proofErr w:type="spellStart"/>
      <w:r w:rsidRPr="006F4AE7">
        <w:rPr>
          <w:i/>
          <w:sz w:val="24"/>
          <w:szCs w:val="24"/>
        </w:rPr>
        <w:t>Transportina</w:t>
      </w:r>
      <w:proofErr w:type="spellEnd"/>
      <w:r w:rsidRPr="006F4AE7">
        <w:rPr>
          <w:i/>
          <w:sz w:val="24"/>
          <w:szCs w:val="24"/>
        </w:rPr>
        <w:t xml:space="preserve"> </w:t>
      </w:r>
      <w:smartTag w:uri="urn:schemas-microsoft-com:office:smarttags" w:element="metricconverter">
        <w:smartTagPr>
          <w:attr w:name="ProductID" w:val="3 in"/>
        </w:smartTagPr>
        <w:r w:rsidRPr="006F4AE7">
          <w:rPr>
            <w:i/>
            <w:sz w:val="24"/>
            <w:szCs w:val="24"/>
          </w:rPr>
          <w:t>3 in</w:t>
        </w:r>
      </w:smartTag>
      <w:r w:rsidRPr="006F4AE7">
        <w:rPr>
          <w:i/>
          <w:sz w:val="24"/>
          <w:szCs w:val="24"/>
        </w:rPr>
        <w:t xml:space="preserve"> modelli cellulari e animali della malattia”</w:t>
      </w:r>
    </w:p>
    <w:p w:rsidR="00275548" w:rsidRPr="009D2D60" w:rsidRDefault="00275548" w:rsidP="004F37F3">
      <w:pPr>
        <w:rPr>
          <w:rFonts w:ascii="Arial" w:hAnsi="Arial" w:cs="Arial"/>
          <w:i/>
        </w:rPr>
      </w:pPr>
    </w:p>
    <w:p w:rsidR="00275548" w:rsidRDefault="00275548" w:rsidP="00252AAD">
      <w:pPr>
        <w:spacing w:line="360" w:lineRule="auto"/>
        <w:jc w:val="both"/>
        <w:rPr>
          <w:sz w:val="24"/>
          <w:szCs w:val="24"/>
        </w:rPr>
      </w:pPr>
      <w:r w:rsidRPr="004F37F3">
        <w:rPr>
          <w:sz w:val="24"/>
          <w:szCs w:val="24"/>
        </w:rPr>
        <w:t>Le distrofie muscolari dei cingoli (LGMD) rappresentano un gruppo di disordini muscolari a base genetica caratterizzati da debolezza dei muscoli assiali, del cingolo pelvico e/o scapolare.  La distrofia muscolare dei cingoli LGMD</w:t>
      </w:r>
      <w:r>
        <w:rPr>
          <w:sz w:val="24"/>
          <w:szCs w:val="24"/>
        </w:rPr>
        <w:t>D2</w:t>
      </w:r>
      <w:r w:rsidRPr="004F37F3">
        <w:rPr>
          <w:sz w:val="24"/>
          <w:szCs w:val="24"/>
        </w:rPr>
        <w:t xml:space="preserve">, identificata in una famiglia di origine italo-spagnola, è una rara malattia neuromuscolare a trasmissione autosomica dominante, caratterizzata da un grado variabile di debolezza muscolare e compromissione funzionale dei muscoli degli arti prossimali. Il quadro istopatologico mostra aumento della variabilità nelle dimensioni delle fibre, con marcata atrofia delle stesse, aumento dei nuclei centrali, incremento del tessuto connettivo </w:t>
      </w:r>
      <w:proofErr w:type="spellStart"/>
      <w:r w:rsidRPr="004F37F3">
        <w:rPr>
          <w:sz w:val="24"/>
          <w:szCs w:val="24"/>
        </w:rPr>
        <w:t>endo</w:t>
      </w:r>
      <w:proofErr w:type="spellEnd"/>
      <w:r w:rsidRPr="004F37F3">
        <w:rPr>
          <w:sz w:val="24"/>
          <w:szCs w:val="24"/>
        </w:rPr>
        <w:t xml:space="preserve"> e </w:t>
      </w:r>
      <w:proofErr w:type="spellStart"/>
      <w:r w:rsidRPr="004F37F3">
        <w:rPr>
          <w:sz w:val="24"/>
          <w:szCs w:val="24"/>
        </w:rPr>
        <w:t>perimisiale</w:t>
      </w:r>
      <w:proofErr w:type="spellEnd"/>
      <w:r w:rsidRPr="004F37F3">
        <w:rPr>
          <w:sz w:val="24"/>
          <w:szCs w:val="24"/>
        </w:rPr>
        <w:t xml:space="preserve"> e vacuoli positivi alla fosfatasi acida lisosomiale (Cenacchi </w:t>
      </w:r>
      <w:r w:rsidRPr="004F37F3">
        <w:rPr>
          <w:i/>
          <w:sz w:val="24"/>
          <w:szCs w:val="24"/>
        </w:rPr>
        <w:t>et al.,</w:t>
      </w:r>
      <w:r w:rsidRPr="004F37F3">
        <w:rPr>
          <w:sz w:val="24"/>
          <w:szCs w:val="24"/>
        </w:rPr>
        <w:t xml:space="preserve"> 2013).  Nel 2013 è stata identificata la mutazione causativa della LGMD</w:t>
      </w:r>
      <w:r>
        <w:rPr>
          <w:sz w:val="24"/>
          <w:szCs w:val="24"/>
        </w:rPr>
        <w:t>D2</w:t>
      </w:r>
      <w:r w:rsidRPr="004F37F3">
        <w:rPr>
          <w:sz w:val="24"/>
          <w:szCs w:val="24"/>
        </w:rPr>
        <w:t xml:space="preserve">: una </w:t>
      </w:r>
      <w:proofErr w:type="spellStart"/>
      <w:r w:rsidRPr="004F37F3">
        <w:rPr>
          <w:sz w:val="24"/>
          <w:szCs w:val="24"/>
        </w:rPr>
        <w:t>microdelezione</w:t>
      </w:r>
      <w:proofErr w:type="spellEnd"/>
      <w:r w:rsidRPr="004F37F3">
        <w:rPr>
          <w:sz w:val="24"/>
          <w:szCs w:val="24"/>
        </w:rPr>
        <w:t xml:space="preserve"> a singola base nel codone di stop del gene </w:t>
      </w:r>
      <w:r w:rsidRPr="004F37F3">
        <w:rPr>
          <w:i/>
          <w:sz w:val="24"/>
          <w:szCs w:val="24"/>
        </w:rPr>
        <w:t>TNPO3</w:t>
      </w:r>
      <w:r>
        <w:rPr>
          <w:i/>
          <w:sz w:val="24"/>
          <w:szCs w:val="24"/>
        </w:rPr>
        <w:t>,</w:t>
      </w:r>
      <w:r w:rsidRPr="004F37F3">
        <w:rPr>
          <w:sz w:val="24"/>
          <w:szCs w:val="24"/>
        </w:rPr>
        <w:t xml:space="preserve"> il quale codifica per la proteina </w:t>
      </w:r>
      <w:proofErr w:type="spellStart"/>
      <w:r w:rsidRPr="004F37F3">
        <w:rPr>
          <w:sz w:val="24"/>
          <w:szCs w:val="24"/>
        </w:rPr>
        <w:t>Trasportina</w:t>
      </w:r>
      <w:proofErr w:type="spellEnd"/>
      <w:r w:rsidRPr="004F37F3">
        <w:rPr>
          <w:sz w:val="24"/>
          <w:szCs w:val="24"/>
        </w:rPr>
        <w:t xml:space="preserve"> 3</w:t>
      </w:r>
      <w:r w:rsidR="002A3CA8">
        <w:rPr>
          <w:sz w:val="24"/>
          <w:szCs w:val="24"/>
        </w:rPr>
        <w:t xml:space="preserve">, </w:t>
      </w:r>
      <w:r w:rsidR="002A3CA8" w:rsidRPr="004F37F3">
        <w:rPr>
          <w:sz w:val="24"/>
          <w:szCs w:val="24"/>
        </w:rPr>
        <w:t>TNPO3 o trasportina-SR2</w:t>
      </w:r>
      <w:r w:rsidRPr="00DB7014">
        <w:rPr>
          <w:iCs/>
          <w:sz w:val="24"/>
          <w:szCs w:val="24"/>
        </w:rPr>
        <w:t>; la mutazione</w:t>
      </w:r>
      <w:r>
        <w:rPr>
          <w:sz w:val="24"/>
          <w:szCs w:val="24"/>
        </w:rPr>
        <w:t xml:space="preserve"> </w:t>
      </w:r>
      <w:r w:rsidRPr="004F37F3">
        <w:rPr>
          <w:sz w:val="24"/>
          <w:szCs w:val="24"/>
        </w:rPr>
        <w:t xml:space="preserve">determina un’estensione del modulo di lettura portando a una proteina mutata con aminoacidi in più all’estremità C-terminale. (Torella </w:t>
      </w:r>
      <w:r w:rsidRPr="004F37F3">
        <w:rPr>
          <w:i/>
          <w:sz w:val="24"/>
          <w:szCs w:val="24"/>
        </w:rPr>
        <w:t>et al</w:t>
      </w:r>
      <w:r w:rsidRPr="004F37F3">
        <w:rPr>
          <w:sz w:val="24"/>
          <w:szCs w:val="24"/>
        </w:rPr>
        <w:t>.,</w:t>
      </w:r>
      <w:r>
        <w:rPr>
          <w:sz w:val="24"/>
          <w:szCs w:val="24"/>
        </w:rPr>
        <w:t xml:space="preserve"> </w:t>
      </w:r>
      <w:r w:rsidRPr="004F37F3">
        <w:rPr>
          <w:sz w:val="24"/>
          <w:szCs w:val="24"/>
        </w:rPr>
        <w:t xml:space="preserve">2013). La </w:t>
      </w:r>
      <w:r w:rsidR="002A3CA8" w:rsidRPr="004F37F3">
        <w:rPr>
          <w:sz w:val="24"/>
          <w:szCs w:val="24"/>
        </w:rPr>
        <w:t>TNPO3</w:t>
      </w:r>
      <w:r w:rsidR="002A3CA8" w:rsidRPr="004F37F3" w:rsidDel="002A3CA8">
        <w:rPr>
          <w:sz w:val="24"/>
          <w:szCs w:val="24"/>
        </w:rPr>
        <w:t xml:space="preserve"> </w:t>
      </w:r>
      <w:r w:rsidRPr="004F37F3">
        <w:rPr>
          <w:sz w:val="24"/>
          <w:szCs w:val="24"/>
        </w:rPr>
        <w:t>() è un’</w:t>
      </w:r>
      <w:proofErr w:type="spellStart"/>
      <w:r w:rsidRPr="004F37F3">
        <w:rPr>
          <w:sz w:val="24"/>
          <w:szCs w:val="24"/>
        </w:rPr>
        <w:t>importina</w:t>
      </w:r>
      <w:proofErr w:type="spellEnd"/>
      <w:r w:rsidRPr="004F37F3">
        <w:rPr>
          <w:sz w:val="24"/>
          <w:szCs w:val="24"/>
        </w:rPr>
        <w:t xml:space="preserve">-β di 923 aminoacidi costituita da 20 motivi </w:t>
      </w:r>
      <w:proofErr w:type="spellStart"/>
      <w:r w:rsidRPr="004F37F3">
        <w:rPr>
          <w:sz w:val="24"/>
          <w:szCs w:val="24"/>
        </w:rPr>
        <w:t>hairpin</w:t>
      </w:r>
      <w:proofErr w:type="spellEnd"/>
      <w:r w:rsidRPr="004F37F3">
        <w:rPr>
          <w:sz w:val="24"/>
          <w:szCs w:val="24"/>
        </w:rPr>
        <w:t xml:space="preserve"> consecutivi e sovrapposti noti come ripetizioni HEAT (</w:t>
      </w:r>
      <w:proofErr w:type="spellStart"/>
      <w:r w:rsidRPr="004F37F3">
        <w:rPr>
          <w:bCs/>
          <w:sz w:val="24"/>
          <w:szCs w:val="24"/>
        </w:rPr>
        <w:t>Kataoka</w:t>
      </w:r>
      <w:proofErr w:type="spellEnd"/>
      <w:r w:rsidRPr="004F37F3">
        <w:rPr>
          <w:bCs/>
          <w:sz w:val="24"/>
          <w:szCs w:val="24"/>
        </w:rPr>
        <w:t xml:space="preserve"> </w:t>
      </w:r>
      <w:r w:rsidRPr="004F37F3">
        <w:rPr>
          <w:bCs/>
          <w:i/>
          <w:sz w:val="24"/>
          <w:szCs w:val="24"/>
        </w:rPr>
        <w:t>et al</w:t>
      </w:r>
      <w:r w:rsidRPr="004F37F3">
        <w:rPr>
          <w:bCs/>
          <w:sz w:val="24"/>
          <w:szCs w:val="24"/>
        </w:rPr>
        <w:t>.,1999</w:t>
      </w:r>
      <w:r w:rsidRPr="004F37F3">
        <w:rPr>
          <w:sz w:val="24"/>
          <w:szCs w:val="24"/>
        </w:rPr>
        <w:t xml:space="preserve">). Le ripetizioni HEAT creano una struttura curva, consentendo così il legame a diversi tipi di cargo e proteine </w:t>
      </w:r>
      <w:proofErr w:type="spellStart"/>
      <w:r w:rsidRPr="004F37F3">
        <w:rPr>
          <w:sz w:val="24"/>
          <w:szCs w:val="24"/>
        </w:rPr>
        <w:t>regolatorie</w:t>
      </w:r>
      <w:proofErr w:type="spellEnd"/>
      <w:r w:rsidRPr="004F37F3">
        <w:rPr>
          <w:sz w:val="24"/>
          <w:szCs w:val="24"/>
        </w:rPr>
        <w:t>. Una caratteristica della T</w:t>
      </w:r>
      <w:r>
        <w:rPr>
          <w:sz w:val="24"/>
          <w:szCs w:val="24"/>
        </w:rPr>
        <w:t>NPO</w:t>
      </w:r>
      <w:r w:rsidRPr="004F37F3">
        <w:rPr>
          <w:sz w:val="24"/>
          <w:szCs w:val="24"/>
        </w:rPr>
        <w:t xml:space="preserve">3 è la capacità di importare nel nucleo proteine ricche di arginina/serina (proteine con residui SR), in particolare i fattori di </w:t>
      </w:r>
      <w:proofErr w:type="spellStart"/>
      <w:r w:rsidRPr="004F37F3">
        <w:rPr>
          <w:sz w:val="24"/>
          <w:szCs w:val="24"/>
        </w:rPr>
        <w:t>splicing</w:t>
      </w:r>
      <w:proofErr w:type="spellEnd"/>
      <w:r w:rsidRPr="004F37F3">
        <w:rPr>
          <w:sz w:val="24"/>
          <w:szCs w:val="24"/>
        </w:rPr>
        <w:t>.. Le proteine SR sono in genere coinvolte nel metabolismo dell'</w:t>
      </w:r>
      <w:proofErr w:type="spellStart"/>
      <w:r w:rsidRPr="004F37F3">
        <w:rPr>
          <w:sz w:val="24"/>
          <w:szCs w:val="24"/>
        </w:rPr>
        <w:t>mRNA</w:t>
      </w:r>
      <w:proofErr w:type="spellEnd"/>
      <w:r w:rsidRPr="004F37F3">
        <w:rPr>
          <w:sz w:val="24"/>
          <w:szCs w:val="24"/>
        </w:rPr>
        <w:t xml:space="preserve"> e includono il fattore di </w:t>
      </w:r>
      <w:proofErr w:type="spellStart"/>
      <w:r w:rsidRPr="004F37F3">
        <w:rPr>
          <w:sz w:val="24"/>
          <w:szCs w:val="24"/>
        </w:rPr>
        <w:t>splicing</w:t>
      </w:r>
      <w:proofErr w:type="spellEnd"/>
      <w:r w:rsidRPr="004F37F3">
        <w:rPr>
          <w:sz w:val="24"/>
          <w:szCs w:val="24"/>
        </w:rPr>
        <w:t xml:space="preserve"> alternativo/fattore di </w:t>
      </w:r>
      <w:proofErr w:type="spellStart"/>
      <w:r w:rsidRPr="004F37F3">
        <w:rPr>
          <w:sz w:val="24"/>
          <w:szCs w:val="24"/>
        </w:rPr>
        <w:t>splicing</w:t>
      </w:r>
      <w:proofErr w:type="spellEnd"/>
      <w:r w:rsidRPr="004F37F3">
        <w:rPr>
          <w:sz w:val="24"/>
          <w:szCs w:val="24"/>
        </w:rPr>
        <w:t xml:space="preserve"> 2 ASF / SF2. Il ruolo esatto </w:t>
      </w:r>
      <w:r w:rsidR="002A3CA8">
        <w:rPr>
          <w:sz w:val="24"/>
          <w:szCs w:val="24"/>
        </w:rPr>
        <w:t>di</w:t>
      </w:r>
      <w:r w:rsidRPr="004F37F3">
        <w:rPr>
          <w:sz w:val="24"/>
          <w:szCs w:val="24"/>
        </w:rPr>
        <w:t>TNPO3 nel muscolo non è ancora stato chiarito,</w:t>
      </w:r>
      <w:r w:rsidR="002A3CA8">
        <w:rPr>
          <w:sz w:val="24"/>
          <w:szCs w:val="24"/>
        </w:rPr>
        <w:t xml:space="preserve"> ma</w:t>
      </w:r>
      <w:r w:rsidRPr="004F37F3">
        <w:rPr>
          <w:sz w:val="24"/>
          <w:szCs w:val="24"/>
        </w:rPr>
        <w:t xml:space="preserve"> sono state elaborate varie ipotesi sul ruolo e sul meccanismo con cui la proteina mutata possa determinare </w:t>
      </w:r>
      <w:r w:rsidR="002A3CA8">
        <w:rPr>
          <w:sz w:val="24"/>
          <w:szCs w:val="24"/>
        </w:rPr>
        <w:t>la</w:t>
      </w:r>
      <w:r w:rsidRPr="004F37F3">
        <w:rPr>
          <w:sz w:val="24"/>
          <w:szCs w:val="24"/>
        </w:rPr>
        <w:t xml:space="preserve"> patologia</w:t>
      </w:r>
      <w:r w:rsidR="002A3CA8">
        <w:rPr>
          <w:sz w:val="24"/>
          <w:szCs w:val="24"/>
        </w:rPr>
        <w:t>; tuttavia,</w:t>
      </w:r>
      <w:r w:rsidRPr="004F37F3">
        <w:rPr>
          <w:sz w:val="24"/>
          <w:szCs w:val="24"/>
        </w:rPr>
        <w:t xml:space="preserve"> </w:t>
      </w:r>
      <w:r w:rsidR="002A3CA8">
        <w:rPr>
          <w:sz w:val="24"/>
          <w:szCs w:val="24"/>
        </w:rPr>
        <w:t>sono</w:t>
      </w:r>
      <w:r w:rsidR="002A3CA8" w:rsidRPr="004F37F3">
        <w:rPr>
          <w:sz w:val="24"/>
          <w:szCs w:val="24"/>
        </w:rPr>
        <w:t xml:space="preserve"> </w:t>
      </w:r>
      <w:r w:rsidRPr="004F37F3">
        <w:rPr>
          <w:sz w:val="24"/>
          <w:szCs w:val="24"/>
        </w:rPr>
        <w:t>necessari ulteriori studi funzionali per chiarirne il ruolo ed il coinvolgimento nell’insorgenza della LGMD</w:t>
      </w:r>
      <w:r>
        <w:rPr>
          <w:sz w:val="24"/>
          <w:szCs w:val="24"/>
        </w:rPr>
        <w:t>D2</w:t>
      </w:r>
      <w:r w:rsidRPr="004F37F3">
        <w:rPr>
          <w:sz w:val="24"/>
          <w:szCs w:val="24"/>
        </w:rPr>
        <w:t>.</w:t>
      </w:r>
    </w:p>
    <w:p w:rsidR="00275548" w:rsidRDefault="00275548" w:rsidP="00252AAD">
      <w:pPr>
        <w:spacing w:line="360" w:lineRule="auto"/>
        <w:jc w:val="both"/>
        <w:rPr>
          <w:sz w:val="24"/>
          <w:szCs w:val="24"/>
        </w:rPr>
      </w:pPr>
    </w:p>
    <w:p w:rsidR="00275548" w:rsidRPr="004F37F3" w:rsidRDefault="00275548" w:rsidP="00252AAD">
      <w:pPr>
        <w:spacing w:line="360" w:lineRule="auto"/>
        <w:jc w:val="both"/>
        <w:rPr>
          <w:sz w:val="24"/>
          <w:szCs w:val="24"/>
        </w:rPr>
      </w:pPr>
    </w:p>
    <w:p w:rsidR="00275548" w:rsidRDefault="00275548" w:rsidP="00252AAD">
      <w:pPr>
        <w:jc w:val="both"/>
        <w:rPr>
          <w:sz w:val="24"/>
          <w:szCs w:val="24"/>
          <w:u w:val="single"/>
        </w:rPr>
      </w:pPr>
    </w:p>
    <w:p w:rsidR="00275548" w:rsidRPr="004F37F3" w:rsidRDefault="00275548" w:rsidP="00252AAD">
      <w:pPr>
        <w:jc w:val="both"/>
        <w:rPr>
          <w:sz w:val="24"/>
          <w:szCs w:val="24"/>
          <w:u w:val="single"/>
        </w:rPr>
      </w:pPr>
      <w:r w:rsidRPr="004F37F3">
        <w:rPr>
          <w:sz w:val="24"/>
          <w:szCs w:val="24"/>
          <w:u w:val="single"/>
        </w:rPr>
        <w:lastRenderedPageBreak/>
        <w:t>Obiettivi principali</w:t>
      </w:r>
    </w:p>
    <w:p w:rsidR="00275548" w:rsidRPr="00024E42" w:rsidRDefault="00275548" w:rsidP="00252AAD">
      <w:pPr>
        <w:shd w:val="clear" w:color="auto" w:fill="FFFFFF"/>
        <w:spacing w:after="0" w:line="360" w:lineRule="auto"/>
        <w:jc w:val="both"/>
        <w:rPr>
          <w:sz w:val="24"/>
          <w:szCs w:val="24"/>
        </w:rPr>
      </w:pPr>
      <w:r w:rsidRPr="00024E42">
        <w:rPr>
          <w:sz w:val="24"/>
          <w:szCs w:val="24"/>
        </w:rPr>
        <w:t xml:space="preserve">L’obiettivo dello studio è quello di utilizzare linee cellulari di </w:t>
      </w:r>
      <w:proofErr w:type="spellStart"/>
      <w:r w:rsidRPr="00024E42">
        <w:rPr>
          <w:sz w:val="24"/>
          <w:szCs w:val="24"/>
        </w:rPr>
        <w:t>mioblasti</w:t>
      </w:r>
      <w:proofErr w:type="spellEnd"/>
      <w:r w:rsidRPr="00024E42">
        <w:rPr>
          <w:sz w:val="24"/>
          <w:szCs w:val="24"/>
        </w:rPr>
        <w:t xml:space="preserve"> murini (C2C12) e satelliti umane (SC</w:t>
      </w:r>
      <w:proofErr w:type="gramStart"/>
      <w:r w:rsidRPr="00024E42">
        <w:rPr>
          <w:sz w:val="24"/>
          <w:szCs w:val="24"/>
        </w:rPr>
        <w:t>),  per</w:t>
      </w:r>
      <w:proofErr w:type="gramEnd"/>
      <w:r w:rsidRPr="00024E42">
        <w:rPr>
          <w:sz w:val="24"/>
          <w:szCs w:val="24"/>
        </w:rPr>
        <w:t xml:space="preserve"> mimare la fisiologia delle cellule muscolari e per chiarire il ruolo della </w:t>
      </w:r>
      <w:r w:rsidRPr="00024E42">
        <w:rPr>
          <w:i/>
          <w:sz w:val="24"/>
          <w:szCs w:val="24"/>
        </w:rPr>
        <w:t xml:space="preserve">TNPO3 </w:t>
      </w:r>
      <w:r w:rsidRPr="00024E42">
        <w:rPr>
          <w:sz w:val="24"/>
          <w:szCs w:val="24"/>
        </w:rPr>
        <w:t>nel muscolo scheletrico e nella patogenesi della LGM</w:t>
      </w:r>
      <w:r>
        <w:rPr>
          <w:sz w:val="24"/>
          <w:szCs w:val="24"/>
        </w:rPr>
        <w:t>DD2</w:t>
      </w:r>
      <w:r w:rsidRPr="00024E42">
        <w:rPr>
          <w:sz w:val="24"/>
          <w:szCs w:val="24"/>
        </w:rPr>
        <w:t xml:space="preserve">. Verrà creato un modello animale in </w:t>
      </w:r>
      <w:proofErr w:type="spellStart"/>
      <w:r w:rsidRPr="00024E42">
        <w:rPr>
          <w:iCs/>
          <w:sz w:val="24"/>
          <w:szCs w:val="24"/>
        </w:rPr>
        <w:t>zebrafish</w:t>
      </w:r>
      <w:proofErr w:type="spellEnd"/>
      <w:r w:rsidRPr="00024E42">
        <w:rPr>
          <w:iCs/>
          <w:sz w:val="24"/>
          <w:szCs w:val="24"/>
        </w:rPr>
        <w:t xml:space="preserve"> per approfondire il meccanismo di differenziamento cellulare in relazione alla presenza di TN</w:t>
      </w:r>
      <w:r>
        <w:rPr>
          <w:iCs/>
          <w:sz w:val="24"/>
          <w:szCs w:val="24"/>
        </w:rPr>
        <w:t>P</w:t>
      </w:r>
      <w:r w:rsidRPr="00024E42">
        <w:rPr>
          <w:iCs/>
          <w:sz w:val="24"/>
          <w:szCs w:val="24"/>
        </w:rPr>
        <w:t xml:space="preserve">O3 mutata. A tale scopo verrà utilizzato un </w:t>
      </w:r>
      <w:proofErr w:type="spellStart"/>
      <w:r w:rsidRPr="00024E42">
        <w:rPr>
          <w:iCs/>
          <w:sz w:val="24"/>
          <w:szCs w:val="24"/>
        </w:rPr>
        <w:t>subclone</w:t>
      </w:r>
      <w:proofErr w:type="spellEnd"/>
      <w:r w:rsidRPr="00024E42">
        <w:rPr>
          <w:iCs/>
          <w:sz w:val="24"/>
          <w:szCs w:val="24"/>
        </w:rPr>
        <w:t xml:space="preserve"> con sequenza corrispondente al </w:t>
      </w:r>
      <w:proofErr w:type="spellStart"/>
      <w:r w:rsidRPr="00024E42">
        <w:rPr>
          <w:iCs/>
          <w:sz w:val="24"/>
          <w:szCs w:val="24"/>
        </w:rPr>
        <w:t>cDNA</w:t>
      </w:r>
      <w:proofErr w:type="spellEnd"/>
      <w:r w:rsidRPr="00024E42">
        <w:rPr>
          <w:iCs/>
          <w:sz w:val="24"/>
          <w:szCs w:val="24"/>
        </w:rPr>
        <w:t xml:space="preserve"> della proteina umana mutata e in vitro verrà trascritta la sequenza di DNA per la ricostituzione di </w:t>
      </w:r>
      <w:proofErr w:type="spellStart"/>
      <w:r w:rsidRPr="00024E42">
        <w:rPr>
          <w:iCs/>
          <w:sz w:val="24"/>
          <w:szCs w:val="24"/>
        </w:rPr>
        <w:t>mRNA</w:t>
      </w:r>
      <w:proofErr w:type="spellEnd"/>
      <w:r w:rsidRPr="00024E42">
        <w:rPr>
          <w:iCs/>
          <w:sz w:val="24"/>
          <w:szCs w:val="24"/>
        </w:rPr>
        <w:t xml:space="preserve">. Le molecole di </w:t>
      </w:r>
      <w:proofErr w:type="spellStart"/>
      <w:r w:rsidRPr="00024E42">
        <w:rPr>
          <w:iCs/>
          <w:sz w:val="24"/>
          <w:szCs w:val="24"/>
        </w:rPr>
        <w:t>mRNA</w:t>
      </w:r>
      <w:proofErr w:type="spellEnd"/>
      <w:r w:rsidRPr="00024E42">
        <w:rPr>
          <w:iCs/>
          <w:sz w:val="24"/>
          <w:szCs w:val="24"/>
        </w:rPr>
        <w:t xml:space="preserve"> verranno quindi </w:t>
      </w:r>
      <w:proofErr w:type="spellStart"/>
      <w:r w:rsidRPr="00024E42">
        <w:rPr>
          <w:iCs/>
          <w:sz w:val="24"/>
          <w:szCs w:val="24"/>
        </w:rPr>
        <w:t>microiniettate</w:t>
      </w:r>
      <w:proofErr w:type="spellEnd"/>
      <w:r w:rsidRPr="00024E42">
        <w:rPr>
          <w:iCs/>
          <w:sz w:val="24"/>
          <w:szCs w:val="24"/>
        </w:rPr>
        <w:t xml:space="preserve"> in </w:t>
      </w:r>
      <w:proofErr w:type="spellStart"/>
      <w:r w:rsidRPr="00024E42">
        <w:rPr>
          <w:iCs/>
          <w:sz w:val="24"/>
          <w:szCs w:val="24"/>
        </w:rPr>
        <w:t>zebrafish</w:t>
      </w:r>
      <w:proofErr w:type="spellEnd"/>
      <w:r w:rsidRPr="00024E42">
        <w:rPr>
          <w:iCs/>
          <w:sz w:val="24"/>
          <w:szCs w:val="24"/>
        </w:rPr>
        <w:t xml:space="preserve"> e verrà quindi valutato il timing delle fasi dello sviluppo muscolare fino alle 48-72 ore mediante lo studio dell’espressione di specifici marker della </w:t>
      </w:r>
      <w:proofErr w:type="spellStart"/>
      <w:r w:rsidRPr="00024E42">
        <w:rPr>
          <w:iCs/>
          <w:sz w:val="24"/>
          <w:szCs w:val="24"/>
        </w:rPr>
        <w:t>miogenesi</w:t>
      </w:r>
      <w:proofErr w:type="spellEnd"/>
      <w:r w:rsidRPr="00024E42">
        <w:rPr>
          <w:iCs/>
          <w:sz w:val="24"/>
          <w:szCs w:val="24"/>
        </w:rPr>
        <w:t xml:space="preserve"> a livello molecolare e proteico </w:t>
      </w:r>
      <w:proofErr w:type="spellStart"/>
      <w:r w:rsidRPr="00024E42">
        <w:rPr>
          <w:iCs/>
          <w:sz w:val="24"/>
          <w:szCs w:val="24"/>
        </w:rPr>
        <w:t>nonchè</w:t>
      </w:r>
      <w:proofErr w:type="spellEnd"/>
      <w:r w:rsidRPr="00024E42">
        <w:rPr>
          <w:iCs/>
          <w:sz w:val="24"/>
          <w:szCs w:val="24"/>
        </w:rPr>
        <w:t xml:space="preserve"> le fasi dello sviluppo morfologico.  La sequenza mutata verrà inoltre </w:t>
      </w:r>
      <w:proofErr w:type="spellStart"/>
      <w:r w:rsidRPr="00024E42">
        <w:rPr>
          <w:iCs/>
          <w:sz w:val="24"/>
          <w:szCs w:val="24"/>
        </w:rPr>
        <w:t>transfettata</w:t>
      </w:r>
      <w:proofErr w:type="spellEnd"/>
      <w:r w:rsidRPr="00024E42">
        <w:rPr>
          <w:iCs/>
          <w:sz w:val="24"/>
          <w:szCs w:val="24"/>
        </w:rPr>
        <w:t xml:space="preserve"> nei modelli cellulari in vitro di cellule satelliti umane (</w:t>
      </w:r>
      <w:proofErr w:type="spellStart"/>
      <w:r w:rsidRPr="00024E42">
        <w:rPr>
          <w:iCs/>
          <w:sz w:val="24"/>
          <w:szCs w:val="24"/>
        </w:rPr>
        <w:t>SCs</w:t>
      </w:r>
      <w:proofErr w:type="spellEnd"/>
      <w:r w:rsidRPr="00024E42">
        <w:rPr>
          <w:iCs/>
          <w:sz w:val="24"/>
          <w:szCs w:val="24"/>
        </w:rPr>
        <w:t xml:space="preserve">) e in linee di </w:t>
      </w:r>
      <w:proofErr w:type="spellStart"/>
      <w:r w:rsidRPr="00024E42">
        <w:rPr>
          <w:iCs/>
          <w:sz w:val="24"/>
          <w:szCs w:val="24"/>
        </w:rPr>
        <w:t>mioblasti</w:t>
      </w:r>
      <w:proofErr w:type="spellEnd"/>
      <w:r w:rsidRPr="00024E42">
        <w:rPr>
          <w:iCs/>
          <w:sz w:val="24"/>
          <w:szCs w:val="24"/>
        </w:rPr>
        <w:t xml:space="preserve"> murini (C2C12).</w:t>
      </w:r>
    </w:p>
    <w:p w:rsidR="00275548" w:rsidRPr="00024E42" w:rsidRDefault="00275548" w:rsidP="00252AAD">
      <w:pPr>
        <w:shd w:val="clear" w:color="auto" w:fill="FFFFFF"/>
        <w:spacing w:after="0" w:line="360" w:lineRule="auto"/>
        <w:jc w:val="both"/>
        <w:rPr>
          <w:color w:val="201F1E"/>
          <w:sz w:val="24"/>
          <w:szCs w:val="24"/>
          <w:bdr w:val="none" w:sz="0" w:space="0" w:color="auto" w:frame="1"/>
          <w:lang w:eastAsia="it-IT"/>
        </w:rPr>
      </w:pPr>
      <w:r>
        <w:rPr>
          <w:sz w:val="24"/>
          <w:szCs w:val="24"/>
        </w:rPr>
        <w:t xml:space="preserve">I </w:t>
      </w:r>
      <w:proofErr w:type="spellStart"/>
      <w:r>
        <w:rPr>
          <w:sz w:val="24"/>
          <w:szCs w:val="24"/>
        </w:rPr>
        <w:t>microRNA</w:t>
      </w:r>
      <w:proofErr w:type="spellEnd"/>
      <w:r>
        <w:rPr>
          <w:sz w:val="24"/>
          <w:szCs w:val="24"/>
        </w:rPr>
        <w:t xml:space="preserve"> sono piccole sequenze di RNA non codificante che agiscono come regolatori dell’espressione genica e d</w:t>
      </w:r>
      <w:r w:rsidRPr="00024E42">
        <w:rPr>
          <w:sz w:val="24"/>
          <w:szCs w:val="24"/>
        </w:rPr>
        <w:t xml:space="preserve">iversi studi hanno fornito prove della significativa influenza di </w:t>
      </w:r>
      <w:r>
        <w:rPr>
          <w:sz w:val="24"/>
          <w:szCs w:val="24"/>
        </w:rPr>
        <w:t xml:space="preserve">alcuni </w:t>
      </w:r>
      <w:proofErr w:type="spellStart"/>
      <w:r>
        <w:rPr>
          <w:sz w:val="24"/>
          <w:szCs w:val="24"/>
        </w:rPr>
        <w:t>miRNA</w:t>
      </w:r>
      <w:proofErr w:type="spellEnd"/>
      <w:r>
        <w:rPr>
          <w:sz w:val="24"/>
          <w:szCs w:val="24"/>
        </w:rPr>
        <w:t xml:space="preserve"> muscolo specifici, o </w:t>
      </w:r>
      <w:proofErr w:type="spellStart"/>
      <w:r>
        <w:rPr>
          <w:sz w:val="24"/>
          <w:szCs w:val="24"/>
        </w:rPr>
        <w:t>mio</w:t>
      </w:r>
      <w:r w:rsidRPr="00024E42">
        <w:rPr>
          <w:sz w:val="24"/>
          <w:szCs w:val="24"/>
        </w:rPr>
        <w:t>miRNA</w:t>
      </w:r>
      <w:proofErr w:type="spellEnd"/>
      <w:r>
        <w:rPr>
          <w:sz w:val="24"/>
          <w:szCs w:val="24"/>
        </w:rPr>
        <w:t>,</w:t>
      </w:r>
      <w:r w:rsidRPr="00024E42">
        <w:rPr>
          <w:sz w:val="24"/>
          <w:szCs w:val="24"/>
        </w:rPr>
        <w:t xml:space="preserve"> sul metabolismo muscolare durante la quiescenza, la proliferazione, il differenziamento e la rigenerazione. </w:t>
      </w:r>
      <w:r>
        <w:rPr>
          <w:sz w:val="24"/>
          <w:szCs w:val="24"/>
        </w:rPr>
        <w:t xml:space="preserve">I </w:t>
      </w:r>
      <w:proofErr w:type="spellStart"/>
      <w:r>
        <w:rPr>
          <w:sz w:val="24"/>
          <w:szCs w:val="24"/>
        </w:rPr>
        <w:t>miomiRNA</w:t>
      </w:r>
      <w:proofErr w:type="spellEnd"/>
      <w:r>
        <w:rPr>
          <w:sz w:val="24"/>
          <w:szCs w:val="24"/>
        </w:rPr>
        <w:t xml:space="preserve"> vengono anche rilascianti in circolo all’interno di </w:t>
      </w:r>
      <w:proofErr w:type="spellStart"/>
      <w:r>
        <w:rPr>
          <w:sz w:val="24"/>
          <w:szCs w:val="24"/>
        </w:rPr>
        <w:t>microvescicole</w:t>
      </w:r>
      <w:proofErr w:type="spellEnd"/>
      <w:r>
        <w:rPr>
          <w:sz w:val="24"/>
          <w:szCs w:val="24"/>
        </w:rPr>
        <w:t xml:space="preserve"> o </w:t>
      </w:r>
      <w:proofErr w:type="spellStart"/>
      <w:r>
        <w:rPr>
          <w:sz w:val="24"/>
          <w:szCs w:val="24"/>
        </w:rPr>
        <w:t>esosomi</w:t>
      </w:r>
      <w:proofErr w:type="spellEnd"/>
      <w:r>
        <w:rPr>
          <w:sz w:val="24"/>
          <w:szCs w:val="24"/>
        </w:rPr>
        <w:t xml:space="preserve">. Un’alterata espressione </w:t>
      </w:r>
      <w:r w:rsidRPr="00024E42">
        <w:rPr>
          <w:sz w:val="24"/>
          <w:szCs w:val="24"/>
        </w:rPr>
        <w:t xml:space="preserve">dei </w:t>
      </w:r>
      <w:proofErr w:type="spellStart"/>
      <w:r w:rsidRPr="00024E42">
        <w:rPr>
          <w:sz w:val="24"/>
          <w:szCs w:val="24"/>
        </w:rPr>
        <w:t>miomiRNA</w:t>
      </w:r>
      <w:proofErr w:type="spellEnd"/>
      <w:r w:rsidRPr="00024E42">
        <w:rPr>
          <w:sz w:val="24"/>
          <w:szCs w:val="24"/>
        </w:rPr>
        <w:t xml:space="preserve"> è stata osservata in diverse miopatie, nell’atrofia muscolare e nel deperimento muscolare correlato all'età (Kirby </w:t>
      </w:r>
      <w:r w:rsidRPr="00024E42">
        <w:rPr>
          <w:i/>
          <w:sz w:val="24"/>
          <w:szCs w:val="24"/>
        </w:rPr>
        <w:t>et al.,</w:t>
      </w:r>
      <w:r w:rsidRPr="00024E42">
        <w:rPr>
          <w:sz w:val="24"/>
          <w:szCs w:val="24"/>
        </w:rPr>
        <w:t xml:space="preserve"> 2015)</w:t>
      </w:r>
      <w:r>
        <w:rPr>
          <w:sz w:val="24"/>
          <w:szCs w:val="24"/>
        </w:rPr>
        <w:t xml:space="preserve"> e</w:t>
      </w:r>
      <w:r w:rsidRPr="00024E42">
        <w:rPr>
          <w:sz w:val="24"/>
          <w:szCs w:val="24"/>
        </w:rPr>
        <w:t xml:space="preserve"> </w:t>
      </w:r>
      <w:r>
        <w:rPr>
          <w:sz w:val="24"/>
          <w:szCs w:val="24"/>
        </w:rPr>
        <w:t xml:space="preserve">alcuni </w:t>
      </w:r>
      <w:proofErr w:type="spellStart"/>
      <w:r>
        <w:rPr>
          <w:sz w:val="24"/>
          <w:szCs w:val="24"/>
        </w:rPr>
        <w:t>miomiRNA</w:t>
      </w:r>
      <w:proofErr w:type="spellEnd"/>
      <w:r>
        <w:rPr>
          <w:sz w:val="24"/>
          <w:szCs w:val="24"/>
        </w:rPr>
        <w:t xml:space="preserve"> sono stati indicati anche come possibili </w:t>
      </w:r>
      <w:proofErr w:type="spellStart"/>
      <w:r w:rsidRPr="00024E42">
        <w:rPr>
          <w:color w:val="201F1E"/>
          <w:sz w:val="24"/>
          <w:szCs w:val="24"/>
          <w:bdr w:val="none" w:sz="0" w:space="0" w:color="auto" w:frame="1"/>
          <w:lang w:eastAsia="it-IT"/>
        </w:rPr>
        <w:t>biomarcatori</w:t>
      </w:r>
      <w:proofErr w:type="spellEnd"/>
      <w:r w:rsidRPr="00024E42">
        <w:rPr>
          <w:color w:val="201F1E"/>
          <w:sz w:val="24"/>
          <w:szCs w:val="24"/>
          <w:bdr w:val="none" w:sz="0" w:space="0" w:color="auto" w:frame="1"/>
          <w:lang w:eastAsia="it-IT"/>
        </w:rPr>
        <w:t xml:space="preserve"> di patologia</w:t>
      </w:r>
      <w:r>
        <w:rPr>
          <w:color w:val="201F1E"/>
          <w:sz w:val="24"/>
          <w:szCs w:val="24"/>
          <w:bdr w:val="none" w:sz="0" w:space="0" w:color="auto" w:frame="1"/>
          <w:lang w:eastAsia="it-IT"/>
        </w:rPr>
        <w:t>..</w:t>
      </w:r>
      <w:r w:rsidRPr="00024E42">
        <w:rPr>
          <w:color w:val="201F1E"/>
          <w:sz w:val="24"/>
          <w:szCs w:val="24"/>
          <w:lang w:eastAsia="it-IT"/>
        </w:rPr>
        <w:t> </w:t>
      </w:r>
      <w:r w:rsidRPr="00024E42">
        <w:rPr>
          <w:sz w:val="24"/>
          <w:szCs w:val="24"/>
        </w:rPr>
        <w:t xml:space="preserve">Sulla base di questi dati di letteratura abbiamo quindi pensato di approfondire l’indagine sull’azione dei </w:t>
      </w:r>
      <w:proofErr w:type="spellStart"/>
      <w:r w:rsidRPr="00024E42">
        <w:rPr>
          <w:sz w:val="24"/>
          <w:szCs w:val="24"/>
        </w:rPr>
        <w:t>miomiRNA</w:t>
      </w:r>
      <w:proofErr w:type="spellEnd"/>
      <w:r>
        <w:rPr>
          <w:sz w:val="24"/>
          <w:szCs w:val="24"/>
        </w:rPr>
        <w:t xml:space="preserve"> presenti nelle </w:t>
      </w:r>
      <w:proofErr w:type="spellStart"/>
      <w:r>
        <w:rPr>
          <w:sz w:val="24"/>
          <w:szCs w:val="24"/>
        </w:rPr>
        <w:t>microvescicole</w:t>
      </w:r>
      <w:proofErr w:type="spellEnd"/>
      <w:r>
        <w:rPr>
          <w:sz w:val="24"/>
          <w:szCs w:val="24"/>
        </w:rPr>
        <w:t xml:space="preserve"> rilasciate in circolo</w:t>
      </w:r>
      <w:r w:rsidRPr="00024E42">
        <w:rPr>
          <w:sz w:val="24"/>
          <w:szCs w:val="24"/>
        </w:rPr>
        <w:t xml:space="preserve"> nei meccanismi di differenziamento nei modelli cellulari da noi utilizzati.</w:t>
      </w:r>
      <w:r>
        <w:rPr>
          <w:sz w:val="24"/>
          <w:szCs w:val="24"/>
        </w:rPr>
        <w:t xml:space="preserve"> </w:t>
      </w:r>
      <w:r w:rsidRPr="00024E42">
        <w:rPr>
          <w:sz w:val="24"/>
          <w:szCs w:val="24"/>
        </w:rPr>
        <w:t xml:space="preserve">Come modello sperimentale </w:t>
      </w:r>
      <w:r w:rsidR="008069A9">
        <w:rPr>
          <w:sz w:val="24"/>
          <w:szCs w:val="24"/>
        </w:rPr>
        <w:t xml:space="preserve">di controllo </w:t>
      </w:r>
      <w:r w:rsidRPr="00024E42">
        <w:rPr>
          <w:sz w:val="24"/>
          <w:szCs w:val="24"/>
        </w:rPr>
        <w:t xml:space="preserve">utilizzeremo </w:t>
      </w:r>
      <w:r w:rsidRPr="00024E42">
        <w:rPr>
          <w:color w:val="201F1E"/>
          <w:sz w:val="24"/>
          <w:szCs w:val="24"/>
          <w:bdr w:val="none" w:sz="0" w:space="0" w:color="auto" w:frame="1"/>
          <w:lang w:eastAsia="it-IT"/>
        </w:rPr>
        <w:t xml:space="preserve">vescicole extracellulari provenienti da cellule staminali del fegato umano sia non manipolate che </w:t>
      </w:r>
      <w:proofErr w:type="spellStart"/>
      <w:r>
        <w:rPr>
          <w:color w:val="201F1E"/>
          <w:sz w:val="24"/>
          <w:szCs w:val="24"/>
          <w:bdr w:val="none" w:sz="0" w:space="0" w:color="auto" w:frame="1"/>
          <w:lang w:eastAsia="it-IT"/>
        </w:rPr>
        <w:t>bio</w:t>
      </w:r>
      <w:proofErr w:type="spellEnd"/>
      <w:r>
        <w:rPr>
          <w:color w:val="201F1E"/>
          <w:sz w:val="24"/>
          <w:szCs w:val="24"/>
          <w:bdr w:val="none" w:sz="0" w:space="0" w:color="auto" w:frame="1"/>
          <w:lang w:eastAsia="it-IT"/>
        </w:rPr>
        <w:t>-</w:t>
      </w:r>
      <w:r w:rsidRPr="00024E42">
        <w:rPr>
          <w:color w:val="201F1E"/>
          <w:sz w:val="24"/>
          <w:szCs w:val="24"/>
          <w:bdr w:val="none" w:sz="0" w:space="0" w:color="auto" w:frame="1"/>
          <w:lang w:eastAsia="it-IT"/>
        </w:rPr>
        <w:t>ingegnerizzate</w:t>
      </w:r>
      <w:r>
        <w:rPr>
          <w:color w:val="201F1E"/>
          <w:sz w:val="24"/>
          <w:szCs w:val="24"/>
          <w:bdr w:val="none" w:sz="0" w:space="0" w:color="auto" w:frame="1"/>
          <w:lang w:eastAsia="it-IT"/>
        </w:rPr>
        <w:t>.</w:t>
      </w:r>
      <w:r w:rsidRPr="00024E42">
        <w:rPr>
          <w:color w:val="201F1E"/>
          <w:sz w:val="24"/>
          <w:szCs w:val="24"/>
          <w:bdr w:val="none" w:sz="0" w:space="0" w:color="auto" w:frame="1"/>
          <w:lang w:eastAsia="it-IT"/>
        </w:rPr>
        <w:t xml:space="preserve"> Le cellule staminali del fegato umano (HLSC) </w:t>
      </w:r>
      <w:r>
        <w:rPr>
          <w:color w:val="201F1E"/>
          <w:sz w:val="24"/>
          <w:szCs w:val="24"/>
          <w:bdr w:val="none" w:sz="0" w:space="0" w:color="auto" w:frame="1"/>
          <w:lang w:eastAsia="it-IT"/>
        </w:rPr>
        <w:t>saranno</w:t>
      </w:r>
      <w:r w:rsidRPr="00024E42">
        <w:rPr>
          <w:color w:val="201F1E"/>
          <w:sz w:val="24"/>
          <w:szCs w:val="24"/>
          <w:bdr w:val="none" w:sz="0" w:space="0" w:color="auto" w:frame="1"/>
          <w:lang w:eastAsia="it-IT"/>
        </w:rPr>
        <w:t xml:space="preserve"> isolate e caratterizzate all'Università di Torino. </w:t>
      </w:r>
      <w:r w:rsidRPr="00024E42">
        <w:rPr>
          <w:sz w:val="24"/>
          <w:szCs w:val="24"/>
        </w:rPr>
        <w:t xml:space="preserve">In collaborazione con il gruppo del Prof. Angelini dell’IRCCS Ospedale San Camillo di Venezia, sarà analizzato il processo di differenziamento </w:t>
      </w:r>
      <w:proofErr w:type="spellStart"/>
      <w:r w:rsidRPr="00024E42">
        <w:rPr>
          <w:sz w:val="24"/>
          <w:szCs w:val="24"/>
        </w:rPr>
        <w:t>miogenico</w:t>
      </w:r>
      <w:proofErr w:type="spellEnd"/>
      <w:r w:rsidRPr="00024E42">
        <w:rPr>
          <w:sz w:val="24"/>
          <w:szCs w:val="24"/>
        </w:rPr>
        <w:t xml:space="preserve"> dal punto di vista dei quattro principali </w:t>
      </w:r>
      <w:proofErr w:type="spellStart"/>
      <w:r w:rsidRPr="00024E42">
        <w:rPr>
          <w:sz w:val="24"/>
          <w:szCs w:val="24"/>
        </w:rPr>
        <w:t>miRNA</w:t>
      </w:r>
      <w:proofErr w:type="spellEnd"/>
      <w:r w:rsidRPr="00024E42">
        <w:rPr>
          <w:sz w:val="24"/>
          <w:szCs w:val="24"/>
        </w:rPr>
        <w:t xml:space="preserve"> muscolo specifici (miR-1, miR-206, miR-133 a/b), di cui è nota la partecipazione nella regolazione dell’espressione genica nelle singole fasi dello sviluppo del muscolo scheletrico. </w:t>
      </w:r>
    </w:p>
    <w:p w:rsidR="00275548" w:rsidRDefault="00275548" w:rsidP="00401EE0">
      <w:pPr>
        <w:shd w:val="clear" w:color="auto" w:fill="FFFFFF"/>
        <w:spacing w:after="0" w:line="240" w:lineRule="auto"/>
        <w:rPr>
          <w:rFonts w:ascii="Arial" w:hAnsi="Arial" w:cs="Arial"/>
          <w:color w:val="201F1E"/>
          <w:sz w:val="20"/>
          <w:szCs w:val="20"/>
          <w:bdr w:val="none" w:sz="0" w:space="0" w:color="auto" w:frame="1"/>
          <w:lang w:eastAsia="it-IT"/>
        </w:rPr>
      </w:pPr>
    </w:p>
    <w:p w:rsidR="00275548" w:rsidRPr="004F37F3" w:rsidRDefault="00275548" w:rsidP="00252AAD">
      <w:pPr>
        <w:spacing w:line="360" w:lineRule="auto"/>
        <w:jc w:val="both"/>
        <w:rPr>
          <w:sz w:val="24"/>
          <w:szCs w:val="24"/>
        </w:rPr>
      </w:pPr>
      <w:r w:rsidRPr="004F37F3">
        <w:rPr>
          <w:b/>
          <w:sz w:val="24"/>
          <w:szCs w:val="24"/>
        </w:rPr>
        <w:t>Conclusione</w:t>
      </w:r>
      <w:r w:rsidRPr="004F37F3">
        <w:rPr>
          <w:b/>
          <w:sz w:val="24"/>
          <w:szCs w:val="24"/>
        </w:rPr>
        <w:br/>
      </w:r>
      <w:r w:rsidRPr="004F37F3">
        <w:rPr>
          <w:sz w:val="24"/>
          <w:szCs w:val="24"/>
        </w:rPr>
        <w:t xml:space="preserve">I dati ottenuti dallo studio sperimentale potranno portare all’identificazione delle alterazioni di espressione di proteine coinvolte nel </w:t>
      </w:r>
      <w:proofErr w:type="spellStart"/>
      <w:r w:rsidRPr="004F37F3">
        <w:rPr>
          <w:sz w:val="24"/>
          <w:szCs w:val="24"/>
        </w:rPr>
        <w:t>pathway</w:t>
      </w:r>
      <w:proofErr w:type="spellEnd"/>
      <w:r w:rsidRPr="004F37F3">
        <w:rPr>
          <w:sz w:val="24"/>
          <w:szCs w:val="24"/>
        </w:rPr>
        <w:t xml:space="preserve"> molecolare TNPO3-dipendente, contribuendo quindi a chiarire il suo ruolo nella patogenesi della distrofia LGMD</w:t>
      </w:r>
      <w:r>
        <w:rPr>
          <w:sz w:val="24"/>
          <w:szCs w:val="24"/>
        </w:rPr>
        <w:t>D2</w:t>
      </w:r>
      <w:r w:rsidRPr="004F37F3">
        <w:rPr>
          <w:sz w:val="24"/>
          <w:szCs w:val="24"/>
        </w:rPr>
        <w:t>.</w:t>
      </w:r>
    </w:p>
    <w:p w:rsidR="00275548" w:rsidRPr="004F37F3" w:rsidRDefault="00275548" w:rsidP="00DF42BD">
      <w:pPr>
        <w:jc w:val="both"/>
        <w:rPr>
          <w:sz w:val="24"/>
          <w:szCs w:val="24"/>
          <w:u w:val="single"/>
        </w:rPr>
      </w:pPr>
      <w:r w:rsidRPr="004F37F3">
        <w:rPr>
          <w:sz w:val="24"/>
          <w:szCs w:val="24"/>
          <w:u w:val="single"/>
        </w:rPr>
        <w:lastRenderedPageBreak/>
        <w:t>Materiali e metodi</w:t>
      </w:r>
    </w:p>
    <w:p w:rsidR="00275548" w:rsidRPr="004F37F3" w:rsidRDefault="00275548" w:rsidP="00252AAD">
      <w:pPr>
        <w:shd w:val="clear" w:color="auto" w:fill="FFFFFF"/>
        <w:spacing w:after="0" w:line="240" w:lineRule="auto"/>
        <w:jc w:val="both"/>
        <w:rPr>
          <w:iCs/>
          <w:sz w:val="24"/>
          <w:szCs w:val="24"/>
        </w:rPr>
      </w:pPr>
      <w:r w:rsidRPr="004F37F3">
        <w:rPr>
          <w:iCs/>
          <w:sz w:val="24"/>
          <w:szCs w:val="24"/>
        </w:rPr>
        <w:t xml:space="preserve">-  In entrambe le popolazioni cellulari verranno analizzate la morfologia e l’espressione dei regolatori </w:t>
      </w:r>
      <w:proofErr w:type="spellStart"/>
      <w:r w:rsidRPr="004F37F3">
        <w:rPr>
          <w:iCs/>
          <w:sz w:val="24"/>
          <w:szCs w:val="24"/>
        </w:rPr>
        <w:t>miogenici</w:t>
      </w:r>
      <w:proofErr w:type="spellEnd"/>
      <w:r w:rsidRPr="004F37F3">
        <w:rPr>
          <w:iCs/>
          <w:sz w:val="24"/>
          <w:szCs w:val="24"/>
        </w:rPr>
        <w:t xml:space="preserve"> e di marcatori proteici muscolo-specifici mediante Real Time PCR, Western </w:t>
      </w:r>
      <w:proofErr w:type="spellStart"/>
      <w:r w:rsidRPr="004F37F3">
        <w:rPr>
          <w:iCs/>
          <w:sz w:val="24"/>
          <w:szCs w:val="24"/>
        </w:rPr>
        <w:t>blot</w:t>
      </w:r>
      <w:proofErr w:type="spellEnd"/>
      <w:r w:rsidRPr="004F37F3">
        <w:rPr>
          <w:iCs/>
          <w:sz w:val="24"/>
          <w:szCs w:val="24"/>
        </w:rPr>
        <w:t xml:space="preserve"> (WB), istologia, immunofluorescenza (IF) e valutazione ultrastrutturale.</w:t>
      </w:r>
    </w:p>
    <w:p w:rsidR="00275548" w:rsidRPr="004F37F3" w:rsidRDefault="00275548" w:rsidP="00252AAD">
      <w:pPr>
        <w:spacing w:after="0" w:line="240" w:lineRule="auto"/>
        <w:jc w:val="both"/>
        <w:rPr>
          <w:iCs/>
          <w:sz w:val="24"/>
          <w:szCs w:val="24"/>
        </w:rPr>
      </w:pPr>
    </w:p>
    <w:p w:rsidR="00275548" w:rsidRPr="004F37F3" w:rsidRDefault="00275548" w:rsidP="00252AAD">
      <w:pPr>
        <w:spacing w:after="120" w:line="240" w:lineRule="auto"/>
        <w:jc w:val="both"/>
        <w:rPr>
          <w:sz w:val="24"/>
          <w:szCs w:val="24"/>
        </w:rPr>
      </w:pPr>
      <w:r w:rsidRPr="004F37F3">
        <w:rPr>
          <w:sz w:val="24"/>
          <w:szCs w:val="24"/>
        </w:rPr>
        <w:t xml:space="preserve">- Verranno valutate proteine che normalmente interagiscono con </w:t>
      </w:r>
      <w:r w:rsidRPr="004F37F3">
        <w:rPr>
          <w:i/>
          <w:sz w:val="24"/>
          <w:szCs w:val="24"/>
        </w:rPr>
        <w:t>TNPO3</w:t>
      </w:r>
      <w:r w:rsidRPr="004F37F3">
        <w:rPr>
          <w:sz w:val="24"/>
          <w:szCs w:val="24"/>
        </w:rPr>
        <w:t xml:space="preserve"> stessa o che sono coinvolte nei meccanismi di </w:t>
      </w:r>
      <w:proofErr w:type="spellStart"/>
      <w:r w:rsidRPr="004F37F3">
        <w:rPr>
          <w:sz w:val="24"/>
          <w:szCs w:val="24"/>
        </w:rPr>
        <w:t>ubiquitinazione</w:t>
      </w:r>
      <w:proofErr w:type="spellEnd"/>
      <w:r w:rsidRPr="004F37F3">
        <w:rPr>
          <w:sz w:val="24"/>
          <w:szCs w:val="24"/>
        </w:rPr>
        <w:t xml:space="preserve"> che portano ad atrofia muscolare. </w:t>
      </w:r>
    </w:p>
    <w:p w:rsidR="00275548" w:rsidRPr="004F37F3" w:rsidRDefault="00275548" w:rsidP="00252AAD">
      <w:pPr>
        <w:spacing w:after="0" w:line="240" w:lineRule="auto"/>
        <w:jc w:val="both"/>
        <w:rPr>
          <w:sz w:val="24"/>
          <w:szCs w:val="24"/>
        </w:rPr>
      </w:pPr>
    </w:p>
    <w:p w:rsidR="00275548" w:rsidRPr="004F37F3" w:rsidRDefault="00275548" w:rsidP="00252AAD">
      <w:pPr>
        <w:spacing w:after="60"/>
        <w:jc w:val="both"/>
        <w:rPr>
          <w:sz w:val="24"/>
          <w:szCs w:val="24"/>
        </w:rPr>
      </w:pPr>
      <w:r w:rsidRPr="004F37F3">
        <w:rPr>
          <w:sz w:val="24"/>
          <w:szCs w:val="24"/>
        </w:rPr>
        <w:t xml:space="preserve">- Verrà allestito il modello animale </w:t>
      </w:r>
      <w:proofErr w:type="spellStart"/>
      <w:r w:rsidRPr="004F37F3">
        <w:rPr>
          <w:sz w:val="24"/>
          <w:szCs w:val="24"/>
        </w:rPr>
        <w:t>Zebrafish</w:t>
      </w:r>
      <w:proofErr w:type="spellEnd"/>
      <w:r w:rsidRPr="004F37F3">
        <w:rPr>
          <w:sz w:val="24"/>
          <w:szCs w:val="24"/>
        </w:rPr>
        <w:t xml:space="preserve"> con </w:t>
      </w:r>
      <w:proofErr w:type="spellStart"/>
      <w:r w:rsidRPr="004F37F3">
        <w:rPr>
          <w:sz w:val="24"/>
          <w:szCs w:val="24"/>
        </w:rPr>
        <w:t>trasfezione</w:t>
      </w:r>
      <w:proofErr w:type="spellEnd"/>
      <w:r w:rsidRPr="004F37F3">
        <w:rPr>
          <w:sz w:val="24"/>
          <w:szCs w:val="24"/>
        </w:rPr>
        <w:t xml:space="preserve"> del </w:t>
      </w:r>
      <w:proofErr w:type="spellStart"/>
      <w:r w:rsidRPr="004F37F3">
        <w:rPr>
          <w:sz w:val="24"/>
          <w:szCs w:val="24"/>
        </w:rPr>
        <w:t>mRNA</w:t>
      </w:r>
      <w:proofErr w:type="spellEnd"/>
      <w:r w:rsidRPr="004F37F3">
        <w:rPr>
          <w:sz w:val="24"/>
          <w:szCs w:val="24"/>
        </w:rPr>
        <w:t xml:space="preserve"> della proteina mutata e si procederà a studiare il timing dello sviluppo muscolare mediante analisi dell’espressione di regolatori </w:t>
      </w:r>
      <w:proofErr w:type="spellStart"/>
      <w:r w:rsidRPr="004F37F3">
        <w:rPr>
          <w:sz w:val="24"/>
          <w:szCs w:val="24"/>
        </w:rPr>
        <w:t>miogenici</w:t>
      </w:r>
      <w:proofErr w:type="spellEnd"/>
      <w:r w:rsidRPr="004F37F3">
        <w:rPr>
          <w:sz w:val="24"/>
          <w:szCs w:val="24"/>
        </w:rPr>
        <w:t xml:space="preserve"> e di marker muscolo-specifici.</w:t>
      </w:r>
    </w:p>
    <w:p w:rsidR="00275548" w:rsidRPr="004F37F3" w:rsidRDefault="00275548" w:rsidP="00252AAD">
      <w:pPr>
        <w:spacing w:after="0"/>
        <w:jc w:val="both"/>
        <w:rPr>
          <w:sz w:val="24"/>
          <w:szCs w:val="24"/>
        </w:rPr>
      </w:pPr>
    </w:p>
    <w:p w:rsidR="00275548" w:rsidRPr="004F37F3" w:rsidRDefault="00275548" w:rsidP="00252AAD">
      <w:pPr>
        <w:spacing w:after="0" w:line="240" w:lineRule="auto"/>
        <w:jc w:val="both"/>
        <w:rPr>
          <w:sz w:val="24"/>
          <w:szCs w:val="24"/>
        </w:rPr>
      </w:pPr>
      <w:r w:rsidRPr="004F37F3">
        <w:rPr>
          <w:sz w:val="24"/>
          <w:szCs w:val="24"/>
        </w:rPr>
        <w:t xml:space="preserve">- Si valuteranno i livelli di alcuni </w:t>
      </w:r>
      <w:proofErr w:type="spellStart"/>
      <w:r w:rsidRPr="004F37F3">
        <w:rPr>
          <w:sz w:val="24"/>
          <w:szCs w:val="24"/>
        </w:rPr>
        <w:t>miRNA</w:t>
      </w:r>
      <w:proofErr w:type="spellEnd"/>
      <w:r w:rsidRPr="004F37F3">
        <w:rPr>
          <w:sz w:val="24"/>
          <w:szCs w:val="24"/>
        </w:rPr>
        <w:t xml:space="preserve"> (come il </w:t>
      </w:r>
      <w:proofErr w:type="spellStart"/>
      <w:r w:rsidRPr="004F37F3">
        <w:rPr>
          <w:sz w:val="24"/>
          <w:szCs w:val="24"/>
        </w:rPr>
        <w:t>miRNA</w:t>
      </w:r>
      <w:proofErr w:type="spellEnd"/>
      <w:r w:rsidRPr="004F37F3">
        <w:rPr>
          <w:sz w:val="24"/>
          <w:szCs w:val="24"/>
        </w:rPr>
        <w:t xml:space="preserve"> 206, </w:t>
      </w:r>
      <w:proofErr w:type="spellStart"/>
      <w:r w:rsidRPr="004F37F3">
        <w:rPr>
          <w:sz w:val="24"/>
          <w:szCs w:val="24"/>
        </w:rPr>
        <w:t>miRNA</w:t>
      </w:r>
      <w:proofErr w:type="spellEnd"/>
      <w:r w:rsidRPr="004F37F3">
        <w:rPr>
          <w:sz w:val="24"/>
          <w:szCs w:val="24"/>
        </w:rPr>
        <w:t xml:space="preserve"> 133a) coinvolti nella </w:t>
      </w:r>
      <w:proofErr w:type="spellStart"/>
      <w:r w:rsidRPr="004F37F3">
        <w:rPr>
          <w:sz w:val="24"/>
          <w:szCs w:val="24"/>
        </w:rPr>
        <w:t>miogenesi</w:t>
      </w:r>
      <w:proofErr w:type="spellEnd"/>
      <w:r w:rsidRPr="004F37F3">
        <w:rPr>
          <w:sz w:val="24"/>
          <w:szCs w:val="24"/>
        </w:rPr>
        <w:t xml:space="preserve"> e nell’atrofia.</w:t>
      </w:r>
    </w:p>
    <w:p w:rsidR="00275548" w:rsidRPr="004F37F3" w:rsidRDefault="00275548" w:rsidP="00252AAD">
      <w:pPr>
        <w:spacing w:after="0" w:line="240" w:lineRule="auto"/>
        <w:jc w:val="both"/>
        <w:rPr>
          <w:sz w:val="24"/>
          <w:szCs w:val="24"/>
        </w:rPr>
      </w:pPr>
    </w:p>
    <w:p w:rsidR="00275548" w:rsidRPr="004F37F3" w:rsidRDefault="00275548" w:rsidP="00252AAD">
      <w:pPr>
        <w:spacing w:after="60"/>
        <w:jc w:val="both"/>
        <w:rPr>
          <w:sz w:val="24"/>
          <w:szCs w:val="24"/>
        </w:rPr>
      </w:pPr>
      <w:r w:rsidRPr="004F37F3">
        <w:rPr>
          <w:color w:val="201F1E"/>
          <w:sz w:val="24"/>
          <w:szCs w:val="24"/>
          <w:bdr w:val="none" w:sz="0" w:space="0" w:color="auto" w:frame="1"/>
          <w:lang w:eastAsia="it-IT"/>
        </w:rPr>
        <w:t xml:space="preserve">- Sviluppo di metodologie per l’uso di </w:t>
      </w:r>
      <w:proofErr w:type="spellStart"/>
      <w:r w:rsidRPr="004F37F3">
        <w:rPr>
          <w:color w:val="201F1E"/>
          <w:sz w:val="24"/>
          <w:szCs w:val="24"/>
          <w:bdr w:val="none" w:sz="0" w:space="0" w:color="auto" w:frame="1"/>
          <w:lang w:eastAsia="it-IT"/>
        </w:rPr>
        <w:t>esosomi</w:t>
      </w:r>
      <w:proofErr w:type="spellEnd"/>
      <w:r w:rsidRPr="004F37F3">
        <w:rPr>
          <w:color w:val="201F1E"/>
          <w:sz w:val="24"/>
          <w:szCs w:val="24"/>
          <w:bdr w:val="none" w:sz="0" w:space="0" w:color="auto" w:frame="1"/>
          <w:lang w:eastAsia="it-IT"/>
        </w:rPr>
        <w:t xml:space="preserve"> e </w:t>
      </w:r>
      <w:proofErr w:type="spellStart"/>
      <w:r w:rsidRPr="004F37F3">
        <w:rPr>
          <w:color w:val="201F1E"/>
          <w:sz w:val="24"/>
          <w:szCs w:val="24"/>
          <w:bdr w:val="none" w:sz="0" w:space="0" w:color="auto" w:frame="1"/>
          <w:lang w:eastAsia="it-IT"/>
        </w:rPr>
        <w:t>microvescicole</w:t>
      </w:r>
      <w:proofErr w:type="spellEnd"/>
      <w:r w:rsidRPr="004F37F3">
        <w:rPr>
          <w:color w:val="201F1E"/>
          <w:sz w:val="24"/>
          <w:szCs w:val="24"/>
          <w:bdr w:val="none" w:sz="0" w:space="0" w:color="auto" w:frame="1"/>
          <w:lang w:eastAsia="it-IT"/>
        </w:rPr>
        <w:t xml:space="preserve"> con valutazione morfologica ultrastrutturale delle caratteristiche morfologiche-</w:t>
      </w:r>
      <w:proofErr w:type="spellStart"/>
      <w:r w:rsidRPr="004F37F3">
        <w:rPr>
          <w:color w:val="201F1E"/>
          <w:sz w:val="24"/>
          <w:szCs w:val="24"/>
          <w:bdr w:val="none" w:sz="0" w:space="0" w:color="auto" w:frame="1"/>
          <w:lang w:eastAsia="it-IT"/>
        </w:rPr>
        <w:t>immunofenotipiche</w:t>
      </w:r>
      <w:proofErr w:type="spellEnd"/>
      <w:r w:rsidRPr="004F37F3">
        <w:rPr>
          <w:color w:val="201F1E"/>
          <w:sz w:val="24"/>
          <w:szCs w:val="24"/>
          <w:bdr w:val="none" w:sz="0" w:space="0" w:color="auto" w:frame="1"/>
          <w:lang w:eastAsia="it-IT"/>
        </w:rPr>
        <w:t xml:space="preserve"> degli </w:t>
      </w:r>
      <w:proofErr w:type="spellStart"/>
      <w:r w:rsidRPr="004F37F3">
        <w:rPr>
          <w:color w:val="201F1E"/>
          <w:sz w:val="24"/>
          <w:szCs w:val="24"/>
          <w:bdr w:val="none" w:sz="0" w:space="0" w:color="auto" w:frame="1"/>
          <w:lang w:eastAsia="it-IT"/>
        </w:rPr>
        <w:t>esosomi</w:t>
      </w:r>
      <w:proofErr w:type="spellEnd"/>
      <w:r w:rsidRPr="004F37F3">
        <w:rPr>
          <w:color w:val="201F1E"/>
          <w:sz w:val="24"/>
          <w:szCs w:val="24"/>
          <w:bdr w:val="none" w:sz="0" w:space="0" w:color="auto" w:frame="1"/>
          <w:lang w:eastAsia="it-IT"/>
        </w:rPr>
        <w:t xml:space="preserve"> e correlazioni molecolari.</w:t>
      </w:r>
    </w:p>
    <w:p w:rsidR="00275548" w:rsidRPr="00DF42BD" w:rsidRDefault="00275548" w:rsidP="00252AAD">
      <w:pPr>
        <w:shd w:val="clear" w:color="auto" w:fill="FFFFFF"/>
        <w:spacing w:after="0" w:line="240" w:lineRule="auto"/>
        <w:jc w:val="both"/>
        <w:rPr>
          <w:color w:val="201F1E"/>
          <w:sz w:val="24"/>
          <w:szCs w:val="24"/>
          <w:bdr w:val="none" w:sz="0" w:space="0" w:color="auto" w:frame="1"/>
          <w:lang w:eastAsia="it-IT"/>
        </w:rPr>
      </w:pPr>
    </w:p>
    <w:p w:rsidR="00275548" w:rsidRPr="004F37F3" w:rsidRDefault="00275548" w:rsidP="00DF42BD">
      <w:pPr>
        <w:shd w:val="clear" w:color="auto" w:fill="FFFFFF"/>
        <w:spacing w:after="0" w:line="240" w:lineRule="auto"/>
        <w:rPr>
          <w:rFonts w:ascii="Calibri" w:hAnsi="Calibri"/>
          <w:color w:val="201F1E"/>
          <w:sz w:val="24"/>
          <w:szCs w:val="24"/>
          <w:lang w:eastAsia="it-IT"/>
        </w:rPr>
      </w:pPr>
    </w:p>
    <w:p w:rsidR="00275548" w:rsidRPr="004F37F3" w:rsidRDefault="00275548" w:rsidP="00DF42BD">
      <w:pPr>
        <w:jc w:val="both"/>
        <w:rPr>
          <w:sz w:val="24"/>
          <w:szCs w:val="24"/>
          <w:u w:val="single"/>
        </w:rPr>
      </w:pPr>
      <w:r w:rsidRPr="004F37F3">
        <w:rPr>
          <w:sz w:val="24"/>
          <w:szCs w:val="24"/>
          <w:u w:val="single"/>
        </w:rPr>
        <w:t>Piano di attività di formazione dell’Assegnista</w:t>
      </w:r>
    </w:p>
    <w:p w:rsidR="00275548" w:rsidRPr="004F37F3" w:rsidRDefault="00275548" w:rsidP="00DF42BD">
      <w:pPr>
        <w:rPr>
          <w:sz w:val="24"/>
          <w:szCs w:val="24"/>
        </w:rPr>
      </w:pPr>
      <w:r w:rsidRPr="004F37F3">
        <w:rPr>
          <w:sz w:val="24"/>
          <w:szCs w:val="24"/>
        </w:rPr>
        <w:t>Apprendimento di metodiche di laboratorio per l’esecuzione di saggi di:</w:t>
      </w:r>
    </w:p>
    <w:p w:rsidR="00275548" w:rsidRPr="004F37F3" w:rsidRDefault="00275548" w:rsidP="00DF42BD">
      <w:pPr>
        <w:numPr>
          <w:ilvl w:val="0"/>
          <w:numId w:val="15"/>
        </w:numPr>
        <w:spacing w:after="0" w:line="240" w:lineRule="auto"/>
        <w:rPr>
          <w:sz w:val="24"/>
          <w:szCs w:val="24"/>
        </w:rPr>
      </w:pPr>
      <w:r w:rsidRPr="004F37F3">
        <w:rPr>
          <w:sz w:val="24"/>
          <w:szCs w:val="24"/>
        </w:rPr>
        <w:t>Colture cellulari e protocolli di differenziamento cellulare.</w:t>
      </w:r>
    </w:p>
    <w:p w:rsidR="00275548" w:rsidRPr="004F37F3" w:rsidRDefault="00275548" w:rsidP="00DF42BD">
      <w:pPr>
        <w:numPr>
          <w:ilvl w:val="0"/>
          <w:numId w:val="15"/>
        </w:numPr>
        <w:spacing w:after="0" w:line="240" w:lineRule="auto"/>
        <w:rPr>
          <w:sz w:val="24"/>
          <w:szCs w:val="24"/>
        </w:rPr>
      </w:pPr>
      <w:r w:rsidRPr="004F37F3">
        <w:rPr>
          <w:sz w:val="24"/>
          <w:szCs w:val="24"/>
        </w:rPr>
        <w:t>Metodiche istologiche e istochimiche.</w:t>
      </w:r>
    </w:p>
    <w:p w:rsidR="00275548" w:rsidRPr="004F37F3" w:rsidRDefault="00275548" w:rsidP="00DF42BD">
      <w:pPr>
        <w:numPr>
          <w:ilvl w:val="0"/>
          <w:numId w:val="15"/>
        </w:numPr>
        <w:spacing w:after="0" w:line="240" w:lineRule="auto"/>
        <w:rPr>
          <w:sz w:val="24"/>
          <w:szCs w:val="24"/>
        </w:rPr>
      </w:pPr>
      <w:r w:rsidRPr="004F37F3">
        <w:rPr>
          <w:sz w:val="24"/>
          <w:szCs w:val="24"/>
        </w:rPr>
        <w:t>Microscopia elettronica a trasmissione.</w:t>
      </w:r>
    </w:p>
    <w:p w:rsidR="00275548" w:rsidRPr="004F37F3" w:rsidRDefault="00275548" w:rsidP="00DF42BD">
      <w:pPr>
        <w:numPr>
          <w:ilvl w:val="0"/>
          <w:numId w:val="15"/>
        </w:numPr>
        <w:spacing w:after="0" w:line="240" w:lineRule="auto"/>
        <w:rPr>
          <w:sz w:val="24"/>
          <w:szCs w:val="24"/>
        </w:rPr>
      </w:pPr>
      <w:r w:rsidRPr="004F37F3">
        <w:rPr>
          <w:sz w:val="24"/>
          <w:szCs w:val="24"/>
        </w:rPr>
        <w:t>Metodiche di biologia molecolare (estrazione RNA, RT-PCR, Real-time PCR).</w:t>
      </w:r>
    </w:p>
    <w:p w:rsidR="00275548" w:rsidRPr="004F37F3" w:rsidRDefault="00275548" w:rsidP="00DF42BD">
      <w:pPr>
        <w:numPr>
          <w:ilvl w:val="0"/>
          <w:numId w:val="15"/>
        </w:numPr>
        <w:spacing w:after="0" w:line="240" w:lineRule="auto"/>
        <w:rPr>
          <w:sz w:val="24"/>
          <w:szCs w:val="24"/>
        </w:rPr>
      </w:pPr>
      <w:r w:rsidRPr="004F37F3">
        <w:rPr>
          <w:sz w:val="24"/>
          <w:szCs w:val="24"/>
        </w:rPr>
        <w:t xml:space="preserve">Western </w:t>
      </w:r>
      <w:proofErr w:type="spellStart"/>
      <w:r w:rsidRPr="004F37F3">
        <w:rPr>
          <w:sz w:val="24"/>
          <w:szCs w:val="24"/>
        </w:rPr>
        <w:t>Blotting</w:t>
      </w:r>
      <w:proofErr w:type="spellEnd"/>
      <w:r w:rsidRPr="004F37F3">
        <w:rPr>
          <w:sz w:val="24"/>
          <w:szCs w:val="24"/>
        </w:rPr>
        <w:t xml:space="preserve"> e quantificazione proteica.</w:t>
      </w:r>
    </w:p>
    <w:p w:rsidR="00275548" w:rsidRDefault="00275548" w:rsidP="00DF42BD">
      <w:pPr>
        <w:numPr>
          <w:ilvl w:val="0"/>
          <w:numId w:val="15"/>
        </w:numPr>
        <w:spacing w:after="0" w:line="240" w:lineRule="auto"/>
        <w:rPr>
          <w:sz w:val="24"/>
          <w:szCs w:val="24"/>
        </w:rPr>
      </w:pPr>
      <w:r w:rsidRPr="004F37F3">
        <w:rPr>
          <w:sz w:val="24"/>
          <w:szCs w:val="24"/>
        </w:rPr>
        <w:t>Metodiche di immunoistochimica e immunofluorescenza.</w:t>
      </w:r>
    </w:p>
    <w:p w:rsidR="00B930EE" w:rsidRPr="004F37F3" w:rsidRDefault="00B930EE" w:rsidP="00DF42BD">
      <w:pPr>
        <w:numPr>
          <w:ilvl w:val="0"/>
          <w:numId w:val="15"/>
        </w:numPr>
        <w:spacing w:after="0" w:line="240" w:lineRule="auto"/>
        <w:rPr>
          <w:sz w:val="24"/>
          <w:szCs w:val="24"/>
        </w:rPr>
      </w:pPr>
      <w:r>
        <w:rPr>
          <w:sz w:val="24"/>
          <w:szCs w:val="24"/>
        </w:rPr>
        <w:t xml:space="preserve">Metodiche di isolamento di </w:t>
      </w:r>
      <w:proofErr w:type="spellStart"/>
      <w:r>
        <w:rPr>
          <w:sz w:val="24"/>
          <w:szCs w:val="24"/>
        </w:rPr>
        <w:t>esosomi</w:t>
      </w:r>
      <w:proofErr w:type="spellEnd"/>
      <w:r>
        <w:rPr>
          <w:sz w:val="24"/>
          <w:szCs w:val="24"/>
        </w:rPr>
        <w:t xml:space="preserve"> e loro caratterizzazione</w:t>
      </w:r>
      <w:bookmarkStart w:id="0" w:name="_GoBack"/>
      <w:bookmarkEnd w:id="0"/>
    </w:p>
    <w:p w:rsidR="00275548" w:rsidRPr="004F37F3" w:rsidRDefault="00275548" w:rsidP="00DF42BD">
      <w:pPr>
        <w:numPr>
          <w:ilvl w:val="0"/>
          <w:numId w:val="15"/>
        </w:numPr>
        <w:spacing w:after="0" w:line="240" w:lineRule="auto"/>
        <w:rPr>
          <w:sz w:val="24"/>
          <w:szCs w:val="24"/>
        </w:rPr>
      </w:pPr>
      <w:r w:rsidRPr="004F37F3">
        <w:rPr>
          <w:sz w:val="24"/>
          <w:szCs w:val="24"/>
        </w:rPr>
        <w:t xml:space="preserve">Allestimento del modello animale di </w:t>
      </w:r>
      <w:proofErr w:type="spellStart"/>
      <w:r w:rsidRPr="004F37F3">
        <w:rPr>
          <w:sz w:val="24"/>
          <w:szCs w:val="24"/>
        </w:rPr>
        <w:t>Zebrafish</w:t>
      </w:r>
      <w:proofErr w:type="spellEnd"/>
    </w:p>
    <w:p w:rsidR="00275548" w:rsidRPr="004F37F3" w:rsidRDefault="00275548" w:rsidP="00252AAD">
      <w:pPr>
        <w:spacing w:line="240" w:lineRule="auto"/>
        <w:jc w:val="both"/>
        <w:rPr>
          <w:sz w:val="24"/>
          <w:szCs w:val="24"/>
        </w:rPr>
      </w:pPr>
    </w:p>
    <w:p w:rsidR="00275548" w:rsidRPr="004F37F3" w:rsidRDefault="00275548" w:rsidP="00252AAD">
      <w:pPr>
        <w:spacing w:line="240" w:lineRule="auto"/>
        <w:jc w:val="both"/>
        <w:rPr>
          <w:sz w:val="24"/>
          <w:szCs w:val="24"/>
          <w:u w:val="single"/>
        </w:rPr>
      </w:pPr>
      <w:r w:rsidRPr="004F37F3">
        <w:rPr>
          <w:sz w:val="24"/>
          <w:szCs w:val="24"/>
          <w:u w:val="single"/>
        </w:rPr>
        <w:t>Referenze</w:t>
      </w:r>
    </w:p>
    <w:p w:rsidR="00275548" w:rsidRPr="004F37F3" w:rsidRDefault="00275548" w:rsidP="00252AAD">
      <w:pPr>
        <w:numPr>
          <w:ilvl w:val="0"/>
          <w:numId w:val="17"/>
        </w:numPr>
        <w:rPr>
          <w:sz w:val="24"/>
          <w:szCs w:val="24"/>
          <w:lang w:val="en-GB"/>
        </w:rPr>
      </w:pPr>
      <w:proofErr w:type="spellStart"/>
      <w:r w:rsidRPr="004F37F3">
        <w:rPr>
          <w:bCs/>
          <w:sz w:val="24"/>
          <w:szCs w:val="24"/>
          <w:lang w:val="en-GB"/>
        </w:rPr>
        <w:t>Gamez</w:t>
      </w:r>
      <w:proofErr w:type="spellEnd"/>
      <w:r w:rsidRPr="004F37F3">
        <w:rPr>
          <w:sz w:val="24"/>
          <w:szCs w:val="24"/>
          <w:lang w:val="en-GB"/>
        </w:rPr>
        <w:t xml:space="preserve"> J et al. </w:t>
      </w:r>
      <w:hyperlink r:id="rId8" w:history="1">
        <w:r w:rsidRPr="004F37F3">
          <w:rPr>
            <w:rStyle w:val="Collegamentoipertestuale"/>
            <w:color w:val="auto"/>
            <w:sz w:val="24"/>
            <w:szCs w:val="24"/>
            <w:u w:val="none"/>
            <w:lang w:val="en-GB"/>
          </w:rPr>
          <w:t xml:space="preserve">Autosomal dominant limb-girdle muscular dystrophy: </w:t>
        </w:r>
        <w:proofErr w:type="gramStart"/>
        <w:r w:rsidRPr="004F37F3">
          <w:rPr>
            <w:rStyle w:val="Collegamentoipertestuale"/>
            <w:color w:val="auto"/>
            <w:sz w:val="24"/>
            <w:szCs w:val="24"/>
            <w:u w:val="none"/>
            <w:lang w:val="en-GB"/>
          </w:rPr>
          <w:t>a large</w:t>
        </w:r>
        <w:proofErr w:type="gramEnd"/>
        <w:r w:rsidRPr="004F37F3">
          <w:rPr>
            <w:rStyle w:val="Collegamentoipertestuale"/>
            <w:color w:val="auto"/>
            <w:sz w:val="24"/>
            <w:szCs w:val="24"/>
            <w:u w:val="none"/>
            <w:lang w:val="en-GB"/>
          </w:rPr>
          <w:t xml:space="preserve"> kindred with evidence for anticipation.</w:t>
        </w:r>
      </w:hyperlink>
      <w:r w:rsidRPr="004F37F3">
        <w:rPr>
          <w:sz w:val="24"/>
          <w:szCs w:val="24"/>
          <w:lang w:val="en-GB"/>
        </w:rPr>
        <w:t xml:space="preserve"> Neurology. </w:t>
      </w:r>
      <w:r w:rsidRPr="004F37F3">
        <w:rPr>
          <w:bCs/>
          <w:sz w:val="24"/>
          <w:szCs w:val="24"/>
          <w:lang w:val="en-GB"/>
        </w:rPr>
        <w:t>2001</w:t>
      </w:r>
      <w:r w:rsidRPr="004F37F3">
        <w:rPr>
          <w:sz w:val="24"/>
          <w:szCs w:val="24"/>
          <w:lang w:val="en-GB"/>
        </w:rPr>
        <w:t xml:space="preserve"> Feb 27;56(4):450-4. PMID:11222786</w:t>
      </w:r>
    </w:p>
    <w:p w:rsidR="00275548" w:rsidRPr="004F37F3" w:rsidRDefault="00275548" w:rsidP="00252AAD">
      <w:pPr>
        <w:numPr>
          <w:ilvl w:val="0"/>
          <w:numId w:val="17"/>
        </w:numPr>
        <w:jc w:val="both"/>
        <w:rPr>
          <w:sz w:val="24"/>
          <w:szCs w:val="24"/>
          <w:lang w:val="en-GB"/>
        </w:rPr>
      </w:pPr>
      <w:proofErr w:type="spellStart"/>
      <w:r w:rsidRPr="004F37F3">
        <w:rPr>
          <w:sz w:val="24"/>
          <w:szCs w:val="24"/>
          <w:lang w:val="en-GB"/>
        </w:rPr>
        <w:t>Melià</w:t>
      </w:r>
      <w:proofErr w:type="spellEnd"/>
      <w:r w:rsidRPr="004F37F3">
        <w:rPr>
          <w:sz w:val="24"/>
          <w:szCs w:val="24"/>
          <w:lang w:val="en-GB"/>
        </w:rPr>
        <w:t xml:space="preserve"> MJ et al. Limb-girdle muscular dystrophy </w:t>
      </w:r>
      <w:smartTag w:uri="urn:schemas-microsoft-com:office:smarttags" w:element="metricconverter">
        <w:smartTagPr>
          <w:attr w:name="ProductID" w:val="1F"/>
        </w:smartTagPr>
        <w:r w:rsidRPr="004F37F3">
          <w:rPr>
            <w:sz w:val="24"/>
            <w:szCs w:val="24"/>
            <w:lang w:val="en-GB"/>
          </w:rPr>
          <w:t>1F</w:t>
        </w:r>
      </w:smartTag>
      <w:r w:rsidRPr="004F37F3">
        <w:rPr>
          <w:sz w:val="24"/>
          <w:szCs w:val="24"/>
          <w:lang w:val="en-GB"/>
        </w:rPr>
        <w:t xml:space="preserve"> is caused by a microdeletion in the </w:t>
      </w:r>
      <w:proofErr w:type="spellStart"/>
      <w:r w:rsidRPr="004F37F3">
        <w:rPr>
          <w:sz w:val="24"/>
          <w:szCs w:val="24"/>
          <w:lang w:val="en-GB"/>
        </w:rPr>
        <w:t>transportin</w:t>
      </w:r>
      <w:proofErr w:type="spellEnd"/>
      <w:r w:rsidRPr="004F37F3">
        <w:rPr>
          <w:sz w:val="24"/>
          <w:szCs w:val="24"/>
          <w:lang w:val="en-GB"/>
        </w:rPr>
        <w:t xml:space="preserve"> 3 gene. Brain. 2013 May;136(Pt 5):1508-17. </w:t>
      </w:r>
      <w:proofErr w:type="spellStart"/>
      <w:r w:rsidRPr="004F37F3">
        <w:rPr>
          <w:sz w:val="24"/>
          <w:szCs w:val="24"/>
          <w:lang w:val="en-GB"/>
        </w:rPr>
        <w:t>doi</w:t>
      </w:r>
      <w:proofErr w:type="spellEnd"/>
      <w:r w:rsidRPr="004F37F3">
        <w:rPr>
          <w:sz w:val="24"/>
          <w:szCs w:val="24"/>
          <w:lang w:val="en-GB"/>
        </w:rPr>
        <w:t xml:space="preserve">: 10.1093/brain/awt074. </w:t>
      </w:r>
      <w:proofErr w:type="spellStart"/>
      <w:r w:rsidRPr="004F37F3">
        <w:rPr>
          <w:sz w:val="24"/>
          <w:szCs w:val="24"/>
          <w:lang w:val="en-GB"/>
        </w:rPr>
        <w:t>Epub</w:t>
      </w:r>
      <w:proofErr w:type="spellEnd"/>
      <w:r w:rsidRPr="004F37F3">
        <w:rPr>
          <w:sz w:val="24"/>
          <w:szCs w:val="24"/>
          <w:lang w:val="en-GB"/>
        </w:rPr>
        <w:t xml:space="preserve"> 2013 Mar 29.</w:t>
      </w:r>
    </w:p>
    <w:p w:rsidR="00275548" w:rsidRPr="004F37F3" w:rsidRDefault="00275548" w:rsidP="00252AAD">
      <w:pPr>
        <w:numPr>
          <w:ilvl w:val="0"/>
          <w:numId w:val="17"/>
        </w:numPr>
        <w:jc w:val="both"/>
        <w:rPr>
          <w:sz w:val="24"/>
          <w:szCs w:val="24"/>
          <w:lang w:val="en-GB"/>
        </w:rPr>
      </w:pPr>
      <w:r w:rsidRPr="004F37F3">
        <w:rPr>
          <w:sz w:val="24"/>
          <w:szCs w:val="24"/>
          <w:lang w:val="en-GB"/>
        </w:rPr>
        <w:t xml:space="preserve">Cenacchi G et al. Ultrastructural changes in LGMD1F. Neuropathology. 2013 Jun;33(3):276-80. </w:t>
      </w:r>
      <w:proofErr w:type="spellStart"/>
      <w:r w:rsidRPr="004F37F3">
        <w:rPr>
          <w:sz w:val="24"/>
          <w:szCs w:val="24"/>
          <w:lang w:val="en-GB"/>
        </w:rPr>
        <w:t>doi</w:t>
      </w:r>
      <w:proofErr w:type="spellEnd"/>
      <w:r w:rsidRPr="004F37F3">
        <w:rPr>
          <w:sz w:val="24"/>
          <w:szCs w:val="24"/>
          <w:lang w:val="en-GB"/>
        </w:rPr>
        <w:t xml:space="preserve">: 10.1111/neup.12003. </w:t>
      </w:r>
      <w:proofErr w:type="spellStart"/>
      <w:r w:rsidRPr="004F37F3">
        <w:rPr>
          <w:sz w:val="24"/>
          <w:szCs w:val="24"/>
          <w:lang w:val="en-GB"/>
        </w:rPr>
        <w:t>Epub</w:t>
      </w:r>
      <w:proofErr w:type="spellEnd"/>
      <w:r w:rsidRPr="004F37F3">
        <w:rPr>
          <w:sz w:val="24"/>
          <w:szCs w:val="24"/>
          <w:lang w:val="en-GB"/>
        </w:rPr>
        <w:t xml:space="preserve"> 2012 Dec 21.</w:t>
      </w:r>
    </w:p>
    <w:p w:rsidR="00275548" w:rsidRPr="004F37F3" w:rsidRDefault="00275548" w:rsidP="00252AAD">
      <w:pPr>
        <w:numPr>
          <w:ilvl w:val="0"/>
          <w:numId w:val="17"/>
        </w:numPr>
        <w:jc w:val="both"/>
        <w:rPr>
          <w:sz w:val="24"/>
          <w:szCs w:val="24"/>
          <w:lang w:val="en-GB"/>
        </w:rPr>
      </w:pPr>
      <w:proofErr w:type="spellStart"/>
      <w:r w:rsidRPr="004F37F3">
        <w:rPr>
          <w:sz w:val="24"/>
          <w:szCs w:val="24"/>
          <w:lang w:val="en-GB"/>
        </w:rPr>
        <w:lastRenderedPageBreak/>
        <w:t>Torella</w:t>
      </w:r>
      <w:proofErr w:type="spellEnd"/>
      <w:r w:rsidRPr="004F37F3">
        <w:rPr>
          <w:sz w:val="24"/>
          <w:szCs w:val="24"/>
          <w:lang w:val="en-GB"/>
        </w:rPr>
        <w:t xml:space="preserve"> et al., “</w:t>
      </w:r>
      <w:r w:rsidRPr="004F37F3">
        <w:rPr>
          <w:rStyle w:val="text"/>
          <w:bCs/>
          <w:i/>
          <w:color w:val="000000"/>
          <w:sz w:val="24"/>
          <w:szCs w:val="24"/>
          <w:shd w:val="clear" w:color="auto" w:fill="FFFFFF"/>
          <w:lang w:val="en-GB"/>
        </w:rPr>
        <w:t xml:space="preserve">Next-generation sequencing identifies </w:t>
      </w:r>
      <w:proofErr w:type="spellStart"/>
      <w:r w:rsidRPr="004F37F3">
        <w:rPr>
          <w:rStyle w:val="text"/>
          <w:bCs/>
          <w:i/>
          <w:color w:val="000000"/>
          <w:sz w:val="24"/>
          <w:szCs w:val="24"/>
          <w:shd w:val="clear" w:color="auto" w:fill="FFFFFF"/>
          <w:lang w:val="en-GB"/>
        </w:rPr>
        <w:t>transportin</w:t>
      </w:r>
      <w:proofErr w:type="spellEnd"/>
      <w:r w:rsidRPr="004F37F3">
        <w:rPr>
          <w:rStyle w:val="text"/>
          <w:bCs/>
          <w:i/>
          <w:color w:val="000000"/>
          <w:sz w:val="24"/>
          <w:szCs w:val="24"/>
          <w:shd w:val="clear" w:color="auto" w:fill="FFFFFF"/>
          <w:lang w:val="en-GB"/>
        </w:rPr>
        <w:t xml:space="preserve"> 3 as the causative gene for LGMD1F</w:t>
      </w:r>
      <w:r w:rsidRPr="004F37F3">
        <w:rPr>
          <w:rStyle w:val="text"/>
          <w:bCs/>
          <w:color w:val="000000"/>
          <w:sz w:val="24"/>
          <w:szCs w:val="24"/>
          <w:shd w:val="clear" w:color="auto" w:fill="FFFFFF"/>
          <w:lang w:val="en-GB"/>
        </w:rPr>
        <w:t>”</w:t>
      </w:r>
      <w:r w:rsidRPr="004F37F3">
        <w:rPr>
          <w:rStyle w:val="text"/>
          <w:color w:val="000000"/>
          <w:sz w:val="24"/>
          <w:szCs w:val="24"/>
          <w:shd w:val="clear" w:color="auto" w:fill="FFFFFF"/>
          <w:lang w:val="en-GB"/>
        </w:rPr>
        <w:t>.</w:t>
      </w:r>
      <w:r w:rsidRPr="004F37F3">
        <w:rPr>
          <w:sz w:val="24"/>
          <w:szCs w:val="24"/>
          <w:lang w:val="en-GB"/>
        </w:rPr>
        <w:t xml:space="preserve"> </w:t>
      </w:r>
      <w:proofErr w:type="spellStart"/>
      <w:r w:rsidRPr="004F37F3">
        <w:rPr>
          <w:sz w:val="24"/>
          <w:szCs w:val="24"/>
          <w:lang w:val="en-GB"/>
        </w:rPr>
        <w:t>PLoS</w:t>
      </w:r>
      <w:proofErr w:type="spellEnd"/>
      <w:r w:rsidRPr="004F37F3">
        <w:rPr>
          <w:sz w:val="24"/>
          <w:szCs w:val="24"/>
          <w:lang w:val="en-GB"/>
        </w:rPr>
        <w:t xml:space="preserve"> One. 2013 May 7;8(5):e63536. </w:t>
      </w:r>
      <w:proofErr w:type="spellStart"/>
      <w:r w:rsidRPr="004F37F3">
        <w:rPr>
          <w:sz w:val="24"/>
          <w:szCs w:val="24"/>
          <w:lang w:val="en-GB"/>
        </w:rPr>
        <w:t>doi</w:t>
      </w:r>
      <w:proofErr w:type="spellEnd"/>
      <w:r w:rsidRPr="004F37F3">
        <w:rPr>
          <w:sz w:val="24"/>
          <w:szCs w:val="24"/>
          <w:lang w:val="en-GB"/>
        </w:rPr>
        <w:t>: 10.1371/journal.pone.0063536. Print 2013.</w:t>
      </w:r>
    </w:p>
    <w:p w:rsidR="00275548" w:rsidRPr="004F37F3" w:rsidRDefault="00275548" w:rsidP="00252AAD">
      <w:pPr>
        <w:pStyle w:val="Paragrafoelenco1"/>
        <w:numPr>
          <w:ilvl w:val="0"/>
          <w:numId w:val="17"/>
        </w:numPr>
        <w:shd w:val="clear" w:color="auto" w:fill="FFFFFF"/>
        <w:spacing w:after="60"/>
        <w:rPr>
          <w:b w:val="0"/>
          <w:szCs w:val="24"/>
          <w:lang w:val="en-GB" w:eastAsia="it-IT"/>
        </w:rPr>
      </w:pPr>
      <w:hyperlink r:id="rId9" w:history="1">
        <w:proofErr w:type="spellStart"/>
        <w:r w:rsidRPr="004F37F3">
          <w:rPr>
            <w:b w:val="0"/>
            <w:szCs w:val="24"/>
            <w:lang w:val="en-GB" w:eastAsia="it-IT"/>
          </w:rPr>
          <w:t>BjørkøyG</w:t>
        </w:r>
        <w:proofErr w:type="spellEnd"/>
      </w:hyperlink>
      <w:r w:rsidRPr="004F37F3">
        <w:rPr>
          <w:szCs w:val="24"/>
          <w:lang w:val="en-GB"/>
        </w:rPr>
        <w:t xml:space="preserve"> </w:t>
      </w:r>
      <w:r w:rsidRPr="004F37F3">
        <w:rPr>
          <w:b w:val="0"/>
          <w:szCs w:val="24"/>
          <w:lang w:val="en-GB" w:eastAsia="it-IT"/>
        </w:rPr>
        <w:t xml:space="preserve">et al. </w:t>
      </w:r>
      <w:proofErr w:type="gramStart"/>
      <w:r w:rsidRPr="004F37F3">
        <w:rPr>
          <w:b w:val="0"/>
          <w:bCs/>
          <w:kern w:val="36"/>
          <w:szCs w:val="24"/>
          <w:lang w:val="en-GB" w:eastAsia="it-IT"/>
        </w:rPr>
        <w:t>Monitoring</w:t>
      </w:r>
      <w:proofErr w:type="gramEnd"/>
      <w:r w:rsidRPr="004F37F3">
        <w:rPr>
          <w:b w:val="0"/>
          <w:bCs/>
          <w:kern w:val="36"/>
          <w:szCs w:val="24"/>
          <w:lang w:val="en-GB" w:eastAsia="it-IT"/>
        </w:rPr>
        <w:t> </w:t>
      </w:r>
      <w:proofErr w:type="spellStart"/>
      <w:r w:rsidRPr="004F37F3">
        <w:rPr>
          <w:b w:val="0"/>
          <w:bCs/>
          <w:kern w:val="36"/>
          <w:szCs w:val="24"/>
          <w:lang w:val="en-GB" w:eastAsia="it-IT"/>
        </w:rPr>
        <w:t>autophagic</w:t>
      </w:r>
      <w:proofErr w:type="spellEnd"/>
      <w:r w:rsidRPr="004F37F3">
        <w:rPr>
          <w:b w:val="0"/>
          <w:bCs/>
          <w:kern w:val="36"/>
          <w:szCs w:val="24"/>
          <w:lang w:val="en-GB" w:eastAsia="it-IT"/>
        </w:rPr>
        <w:t> degradation of p62/SQSTM1.</w:t>
      </w:r>
      <w:r w:rsidRPr="004F37F3">
        <w:rPr>
          <w:b w:val="0"/>
          <w:szCs w:val="24"/>
          <w:lang w:val="en-GB" w:eastAsia="it-IT"/>
        </w:rPr>
        <w:t xml:space="preserve"> </w:t>
      </w:r>
      <w:hyperlink r:id="rId10" w:tooltip="Methods in enzymology." w:history="1">
        <w:r w:rsidRPr="004F37F3">
          <w:rPr>
            <w:b w:val="0"/>
            <w:szCs w:val="24"/>
            <w:lang w:val="en-GB" w:eastAsia="it-IT"/>
          </w:rPr>
          <w:t xml:space="preserve">Methods </w:t>
        </w:r>
        <w:proofErr w:type="spellStart"/>
        <w:r w:rsidRPr="004F37F3">
          <w:rPr>
            <w:b w:val="0"/>
            <w:szCs w:val="24"/>
            <w:lang w:val="en-GB" w:eastAsia="it-IT"/>
          </w:rPr>
          <w:t>Enzymol</w:t>
        </w:r>
        <w:proofErr w:type="spellEnd"/>
        <w:r w:rsidRPr="004F37F3">
          <w:rPr>
            <w:b w:val="0"/>
            <w:szCs w:val="24"/>
            <w:lang w:val="en-GB" w:eastAsia="it-IT"/>
          </w:rPr>
          <w:t>.</w:t>
        </w:r>
      </w:hyperlink>
      <w:r w:rsidRPr="004F37F3">
        <w:rPr>
          <w:b w:val="0"/>
          <w:szCs w:val="24"/>
          <w:lang w:val="en-GB" w:eastAsia="it-IT"/>
        </w:rPr>
        <w:t xml:space="preserve"> 2009;452:181-97. </w:t>
      </w:r>
      <w:proofErr w:type="spellStart"/>
      <w:r w:rsidRPr="004F37F3">
        <w:rPr>
          <w:b w:val="0"/>
          <w:szCs w:val="24"/>
          <w:lang w:val="en-GB" w:eastAsia="it-IT"/>
        </w:rPr>
        <w:t>doi</w:t>
      </w:r>
      <w:proofErr w:type="spellEnd"/>
      <w:r w:rsidRPr="004F37F3">
        <w:rPr>
          <w:b w:val="0"/>
          <w:szCs w:val="24"/>
          <w:lang w:val="en-GB" w:eastAsia="it-IT"/>
        </w:rPr>
        <w:t>: 10.1016/S0076-6879(08)03612-4.</w:t>
      </w:r>
    </w:p>
    <w:p w:rsidR="00275548" w:rsidRPr="004F37F3" w:rsidRDefault="00275548" w:rsidP="004F37F3">
      <w:pPr>
        <w:pStyle w:val="Paragrafoelenco1"/>
        <w:shd w:val="clear" w:color="auto" w:fill="FFFFFF"/>
        <w:spacing w:after="60"/>
        <w:ind w:left="1065"/>
        <w:rPr>
          <w:b w:val="0"/>
          <w:szCs w:val="24"/>
          <w:lang w:val="en-GB" w:eastAsia="it-IT"/>
        </w:rPr>
      </w:pPr>
    </w:p>
    <w:p w:rsidR="00275548" w:rsidRPr="004F37F3" w:rsidRDefault="00275548" w:rsidP="00252AAD">
      <w:pPr>
        <w:pStyle w:val="Paragrafoelenco1"/>
        <w:numPr>
          <w:ilvl w:val="0"/>
          <w:numId w:val="17"/>
        </w:numPr>
        <w:shd w:val="clear" w:color="auto" w:fill="FFFFFF"/>
        <w:spacing w:after="60"/>
        <w:jc w:val="both"/>
        <w:rPr>
          <w:b w:val="0"/>
          <w:szCs w:val="24"/>
          <w:lang w:val="pt-BR" w:eastAsia="it-IT"/>
        </w:rPr>
      </w:pPr>
      <w:hyperlink r:id="rId11" w:history="1">
        <w:r w:rsidRPr="004F37F3">
          <w:rPr>
            <w:b w:val="0"/>
            <w:szCs w:val="24"/>
            <w:lang w:val="en-GB" w:eastAsia="it-IT"/>
          </w:rPr>
          <w:t>Bodine</w:t>
        </w:r>
        <w:r>
          <w:rPr>
            <w:b w:val="0"/>
            <w:szCs w:val="24"/>
            <w:lang w:val="en-GB" w:eastAsia="it-IT"/>
          </w:rPr>
          <w:t xml:space="preserve"> </w:t>
        </w:r>
        <w:r w:rsidRPr="004F37F3">
          <w:rPr>
            <w:b w:val="0"/>
            <w:szCs w:val="24"/>
            <w:lang w:val="en-GB" w:eastAsia="it-IT"/>
          </w:rPr>
          <w:t>SC</w:t>
        </w:r>
      </w:hyperlink>
      <w:r w:rsidRPr="004F37F3">
        <w:rPr>
          <w:b w:val="0"/>
          <w:bCs/>
          <w:kern w:val="36"/>
          <w:szCs w:val="24"/>
          <w:lang w:val="en-GB" w:eastAsia="it-IT"/>
        </w:rPr>
        <w:t xml:space="preserve"> et al. Skeletal muscle atrophy and the E3 ubiquitin ligases MuRF1 and </w:t>
      </w:r>
      <w:proofErr w:type="spellStart"/>
      <w:r w:rsidRPr="004F37F3">
        <w:rPr>
          <w:b w:val="0"/>
          <w:bCs/>
          <w:kern w:val="36"/>
          <w:szCs w:val="24"/>
          <w:lang w:val="en-GB" w:eastAsia="it-IT"/>
        </w:rPr>
        <w:t>MAFbx</w:t>
      </w:r>
      <w:proofErr w:type="spellEnd"/>
      <w:r w:rsidRPr="004F37F3">
        <w:rPr>
          <w:b w:val="0"/>
          <w:bCs/>
          <w:kern w:val="36"/>
          <w:szCs w:val="24"/>
          <w:lang w:val="en-GB" w:eastAsia="it-IT"/>
        </w:rPr>
        <w:t>/atrogin-1.</w:t>
      </w:r>
      <w:r w:rsidRPr="004F37F3">
        <w:rPr>
          <w:b w:val="0"/>
          <w:szCs w:val="24"/>
          <w:lang w:val="en-GB" w:eastAsia="it-IT"/>
        </w:rPr>
        <w:t xml:space="preserve"> </w:t>
      </w:r>
      <w:hyperlink r:id="rId12" w:tooltip="American journal of physiology. Endocrinology and metabolism." w:history="1">
        <w:r w:rsidRPr="004F37F3">
          <w:rPr>
            <w:b w:val="0"/>
            <w:szCs w:val="24"/>
            <w:lang w:val="pt-BR" w:eastAsia="it-IT"/>
          </w:rPr>
          <w:t>Am J Physiol Endocrinol Metab.</w:t>
        </w:r>
      </w:hyperlink>
      <w:r w:rsidRPr="004F37F3">
        <w:rPr>
          <w:b w:val="0"/>
          <w:szCs w:val="24"/>
          <w:lang w:val="pt-BR" w:eastAsia="it-IT"/>
        </w:rPr>
        <w:t> 2014 Sep 15;307(6):E469-84. doi: 10.1152/ajpendo.00204.2014. Epub 2014 Aug 5.</w:t>
      </w:r>
    </w:p>
    <w:p w:rsidR="00275548" w:rsidRPr="004F37F3" w:rsidRDefault="00275548" w:rsidP="004F37F3">
      <w:pPr>
        <w:pStyle w:val="Paragrafoelenco1"/>
        <w:shd w:val="clear" w:color="auto" w:fill="FFFFFF"/>
        <w:spacing w:after="60"/>
        <w:ind w:left="0"/>
        <w:jc w:val="both"/>
        <w:rPr>
          <w:b w:val="0"/>
          <w:szCs w:val="24"/>
          <w:lang w:val="pt-BR" w:eastAsia="it-IT"/>
        </w:rPr>
      </w:pPr>
    </w:p>
    <w:p w:rsidR="00275548" w:rsidRPr="004F37F3" w:rsidRDefault="00275548" w:rsidP="0047479E">
      <w:pPr>
        <w:pStyle w:val="Paragrafoelenco1"/>
        <w:numPr>
          <w:ilvl w:val="0"/>
          <w:numId w:val="17"/>
        </w:numPr>
        <w:shd w:val="clear" w:color="auto" w:fill="FFFFFF"/>
        <w:spacing w:after="60"/>
        <w:jc w:val="both"/>
        <w:rPr>
          <w:b w:val="0"/>
          <w:szCs w:val="24"/>
          <w:lang w:eastAsia="it-IT"/>
        </w:rPr>
      </w:pPr>
      <w:hyperlink r:id="rId13" w:history="1">
        <w:proofErr w:type="spellStart"/>
        <w:r w:rsidRPr="004F37F3">
          <w:rPr>
            <w:b w:val="0"/>
            <w:szCs w:val="24"/>
            <w:lang w:val="en-GB" w:eastAsia="it-IT"/>
          </w:rPr>
          <w:t>Burattini</w:t>
        </w:r>
        <w:proofErr w:type="spellEnd"/>
        <w:r w:rsidRPr="004F37F3">
          <w:rPr>
            <w:b w:val="0"/>
            <w:szCs w:val="24"/>
            <w:lang w:val="en-GB" w:eastAsia="it-IT"/>
          </w:rPr>
          <w:t xml:space="preserve"> S</w:t>
        </w:r>
      </w:hyperlink>
      <w:r w:rsidRPr="004F37F3">
        <w:rPr>
          <w:b w:val="0"/>
          <w:szCs w:val="24"/>
          <w:lang w:val="en-GB" w:eastAsia="it-IT"/>
        </w:rPr>
        <w:t xml:space="preserve"> et al. </w:t>
      </w:r>
      <w:r w:rsidRPr="004F37F3">
        <w:rPr>
          <w:b w:val="0"/>
          <w:bCs/>
          <w:kern w:val="36"/>
          <w:szCs w:val="24"/>
          <w:lang w:val="en-GB" w:eastAsia="it-IT"/>
        </w:rPr>
        <w:t>C2C12 murine myoblasts as a model of skeletal muscle development: </w:t>
      </w:r>
      <w:proofErr w:type="spellStart"/>
      <w:r w:rsidRPr="004F37F3">
        <w:rPr>
          <w:b w:val="0"/>
          <w:bCs/>
          <w:kern w:val="36"/>
          <w:szCs w:val="24"/>
          <w:lang w:val="en-GB" w:eastAsia="it-IT"/>
        </w:rPr>
        <w:t>morpho</w:t>
      </w:r>
      <w:proofErr w:type="spellEnd"/>
      <w:r w:rsidRPr="004F37F3">
        <w:rPr>
          <w:b w:val="0"/>
          <w:bCs/>
          <w:kern w:val="36"/>
          <w:szCs w:val="24"/>
          <w:lang w:val="en-GB" w:eastAsia="it-IT"/>
        </w:rPr>
        <w:t xml:space="preserve"> –functional characterization.</w:t>
      </w:r>
      <w:r w:rsidRPr="004F37F3">
        <w:rPr>
          <w:b w:val="0"/>
          <w:szCs w:val="24"/>
          <w:lang w:val="en-GB" w:eastAsia="it-IT"/>
        </w:rPr>
        <w:t xml:space="preserve"> </w:t>
      </w:r>
      <w:hyperlink r:id="rId14" w:tooltip="European journal of histochemistry : EJH." w:history="1">
        <w:proofErr w:type="spellStart"/>
        <w:r w:rsidRPr="00DB7014">
          <w:rPr>
            <w:b w:val="0"/>
            <w:szCs w:val="24"/>
            <w:lang w:val="en-US" w:eastAsia="it-IT"/>
          </w:rPr>
          <w:t>Eur</w:t>
        </w:r>
        <w:proofErr w:type="spellEnd"/>
        <w:r w:rsidRPr="00DB7014">
          <w:rPr>
            <w:b w:val="0"/>
            <w:szCs w:val="24"/>
            <w:lang w:val="en-US" w:eastAsia="it-IT"/>
          </w:rPr>
          <w:t xml:space="preserve"> J </w:t>
        </w:r>
        <w:proofErr w:type="spellStart"/>
        <w:r w:rsidRPr="00DB7014">
          <w:rPr>
            <w:b w:val="0"/>
            <w:szCs w:val="24"/>
            <w:lang w:val="en-US" w:eastAsia="it-IT"/>
          </w:rPr>
          <w:t>Histochem</w:t>
        </w:r>
        <w:proofErr w:type="spellEnd"/>
        <w:r w:rsidRPr="00DB7014">
          <w:rPr>
            <w:b w:val="0"/>
            <w:szCs w:val="24"/>
            <w:lang w:val="en-US" w:eastAsia="it-IT"/>
          </w:rPr>
          <w:t>.</w:t>
        </w:r>
      </w:hyperlink>
      <w:r w:rsidRPr="004F59A5">
        <w:rPr>
          <w:b w:val="0"/>
          <w:szCs w:val="24"/>
          <w:lang w:val="en-US" w:eastAsia="it-IT"/>
        </w:rPr>
        <w:t> </w:t>
      </w:r>
      <w:r w:rsidRPr="004F37F3">
        <w:rPr>
          <w:b w:val="0"/>
          <w:szCs w:val="24"/>
          <w:lang w:eastAsia="it-IT"/>
        </w:rPr>
        <w:t>2004 Jul-Sep;48(3):223-33.</w:t>
      </w:r>
    </w:p>
    <w:p w:rsidR="00275548" w:rsidRPr="004F37F3" w:rsidRDefault="00275548" w:rsidP="00252AAD">
      <w:pPr>
        <w:spacing w:after="0" w:line="240" w:lineRule="auto"/>
        <w:rPr>
          <w:sz w:val="24"/>
          <w:szCs w:val="24"/>
        </w:rPr>
      </w:pPr>
    </w:p>
    <w:p w:rsidR="00275548" w:rsidRPr="00401EE0" w:rsidRDefault="00275548" w:rsidP="00401EE0">
      <w:pPr>
        <w:shd w:val="clear" w:color="auto" w:fill="FFFFFF"/>
        <w:spacing w:after="0" w:line="240" w:lineRule="auto"/>
        <w:rPr>
          <w:rFonts w:ascii="Calibri" w:hAnsi="Calibri"/>
          <w:color w:val="201F1E"/>
          <w:lang w:eastAsia="it-IT"/>
        </w:rPr>
      </w:pPr>
    </w:p>
    <w:p w:rsidR="00275548" w:rsidRPr="000225A4" w:rsidRDefault="00275548" w:rsidP="00B15508"/>
    <w:p w:rsidR="00275548" w:rsidRPr="000225A4" w:rsidRDefault="00275548" w:rsidP="00B15508"/>
    <w:p w:rsidR="00275548" w:rsidRPr="000225A4" w:rsidRDefault="00275548" w:rsidP="00B15508"/>
    <w:p w:rsidR="00275548" w:rsidRPr="000225A4" w:rsidRDefault="00275548" w:rsidP="00B15508"/>
    <w:sectPr w:rsidR="00275548" w:rsidRPr="000225A4" w:rsidSect="00AC7F52">
      <w:footerReference w:type="even"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42" w:rsidRDefault="00E87142">
      <w:r>
        <w:separator/>
      </w:r>
    </w:p>
  </w:endnote>
  <w:endnote w:type="continuationSeparator" w:id="0">
    <w:p w:rsidR="00E87142" w:rsidRDefault="00E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48" w:rsidRDefault="00275548" w:rsidP="00973597">
    <w:pPr>
      <w:pStyle w:val="Pidipagina"/>
      <w:framePr w:wrap="around" w:vAnchor="text" w:hAnchor="margin" w:xAlign="right" w:y="1"/>
      <w:rPr>
        <w:rStyle w:val="Numeropagina"/>
      </w:rPr>
    </w:pPr>
  </w:p>
  <w:p w:rsidR="00275548" w:rsidRDefault="00275548" w:rsidP="006C280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48" w:rsidRDefault="00275548" w:rsidP="00973597">
    <w:pPr>
      <w:pStyle w:val="Pidipagina"/>
      <w:framePr w:wrap="around" w:vAnchor="text" w:hAnchor="margin" w:xAlign="right" w:y="1"/>
      <w:rPr>
        <w:rStyle w:val="Numeropagina"/>
      </w:rPr>
    </w:pPr>
    <w:r>
      <w:rPr>
        <w:rStyle w:val="Numeropagina"/>
        <w:noProof/>
      </w:rPr>
      <w:t>1</w:t>
    </w:r>
  </w:p>
  <w:p w:rsidR="00275548" w:rsidRDefault="00275548" w:rsidP="006C280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42" w:rsidRDefault="00E87142">
      <w:r>
        <w:separator/>
      </w:r>
    </w:p>
  </w:footnote>
  <w:footnote w:type="continuationSeparator" w:id="0">
    <w:p w:rsidR="00E87142" w:rsidRDefault="00E8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E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A8402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A4D1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C626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146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76C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8EB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AE9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8AA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26CD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366DD"/>
    <w:multiLevelType w:val="hybridMultilevel"/>
    <w:tmpl w:val="E73814F6"/>
    <w:lvl w:ilvl="0" w:tplc="77C07604">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1BB6E94"/>
    <w:multiLevelType w:val="hybridMultilevel"/>
    <w:tmpl w:val="F850B6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4050DE1"/>
    <w:multiLevelType w:val="hybridMultilevel"/>
    <w:tmpl w:val="D930857A"/>
    <w:lvl w:ilvl="0" w:tplc="C818DB0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D82E89"/>
    <w:multiLevelType w:val="hybridMultilevel"/>
    <w:tmpl w:val="68B692BE"/>
    <w:lvl w:ilvl="0" w:tplc="588079F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02532F"/>
    <w:multiLevelType w:val="hybridMultilevel"/>
    <w:tmpl w:val="E73814F6"/>
    <w:lvl w:ilvl="0" w:tplc="77C07604">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0714F85"/>
    <w:multiLevelType w:val="hybridMultilevel"/>
    <w:tmpl w:val="F850B6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878168E"/>
    <w:multiLevelType w:val="hybridMultilevel"/>
    <w:tmpl w:val="200A6648"/>
    <w:lvl w:ilvl="0" w:tplc="4A82C14E">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508"/>
    <w:rsid w:val="00002331"/>
    <w:rsid w:val="00010278"/>
    <w:rsid w:val="00016A82"/>
    <w:rsid w:val="000225A4"/>
    <w:rsid w:val="00024E42"/>
    <w:rsid w:val="000310C5"/>
    <w:rsid w:val="00041347"/>
    <w:rsid w:val="00086DE5"/>
    <w:rsid w:val="00097D31"/>
    <w:rsid w:val="000A6952"/>
    <w:rsid w:val="001138E7"/>
    <w:rsid w:val="00124A32"/>
    <w:rsid w:val="001262DD"/>
    <w:rsid w:val="00153D7F"/>
    <w:rsid w:val="00155983"/>
    <w:rsid w:val="00165720"/>
    <w:rsid w:val="001674C6"/>
    <w:rsid w:val="001829B0"/>
    <w:rsid w:val="00192CC7"/>
    <w:rsid w:val="00193D35"/>
    <w:rsid w:val="001A0A06"/>
    <w:rsid w:val="001A30EA"/>
    <w:rsid w:val="001B2E59"/>
    <w:rsid w:val="001B5155"/>
    <w:rsid w:val="001E1E47"/>
    <w:rsid w:val="001F3212"/>
    <w:rsid w:val="002108D4"/>
    <w:rsid w:val="002200A0"/>
    <w:rsid w:val="00221893"/>
    <w:rsid w:val="0022668E"/>
    <w:rsid w:val="00236712"/>
    <w:rsid w:val="00236F52"/>
    <w:rsid w:val="002524A6"/>
    <w:rsid w:val="00252AAD"/>
    <w:rsid w:val="00261122"/>
    <w:rsid w:val="00264061"/>
    <w:rsid w:val="00266049"/>
    <w:rsid w:val="00270440"/>
    <w:rsid w:val="00275548"/>
    <w:rsid w:val="0028588A"/>
    <w:rsid w:val="002A3CA8"/>
    <w:rsid w:val="002A6FC8"/>
    <w:rsid w:val="002C0730"/>
    <w:rsid w:val="002C7C06"/>
    <w:rsid w:val="002F0D55"/>
    <w:rsid w:val="002F448B"/>
    <w:rsid w:val="00302335"/>
    <w:rsid w:val="00306253"/>
    <w:rsid w:val="00314CEB"/>
    <w:rsid w:val="00322384"/>
    <w:rsid w:val="00327A19"/>
    <w:rsid w:val="0033412D"/>
    <w:rsid w:val="00345DB0"/>
    <w:rsid w:val="003C0D8C"/>
    <w:rsid w:val="003C5D7A"/>
    <w:rsid w:val="003E390A"/>
    <w:rsid w:val="00401EE0"/>
    <w:rsid w:val="00415E50"/>
    <w:rsid w:val="00420879"/>
    <w:rsid w:val="00420D60"/>
    <w:rsid w:val="00435001"/>
    <w:rsid w:val="004440CF"/>
    <w:rsid w:val="00444C9A"/>
    <w:rsid w:val="00463CCE"/>
    <w:rsid w:val="00464012"/>
    <w:rsid w:val="0046527B"/>
    <w:rsid w:val="0047479E"/>
    <w:rsid w:val="004764DC"/>
    <w:rsid w:val="004774CA"/>
    <w:rsid w:val="00483209"/>
    <w:rsid w:val="004B633B"/>
    <w:rsid w:val="004C08C2"/>
    <w:rsid w:val="004C4697"/>
    <w:rsid w:val="004E7638"/>
    <w:rsid w:val="004F37F3"/>
    <w:rsid w:val="004F59A5"/>
    <w:rsid w:val="00504191"/>
    <w:rsid w:val="00550677"/>
    <w:rsid w:val="00557F0B"/>
    <w:rsid w:val="0056048E"/>
    <w:rsid w:val="005A037F"/>
    <w:rsid w:val="005A7B20"/>
    <w:rsid w:val="005F49F4"/>
    <w:rsid w:val="005F7407"/>
    <w:rsid w:val="00600D39"/>
    <w:rsid w:val="00632064"/>
    <w:rsid w:val="006403C5"/>
    <w:rsid w:val="00660245"/>
    <w:rsid w:val="00660E27"/>
    <w:rsid w:val="00685956"/>
    <w:rsid w:val="006A0C3C"/>
    <w:rsid w:val="006A574C"/>
    <w:rsid w:val="006B5E46"/>
    <w:rsid w:val="006C2803"/>
    <w:rsid w:val="006C305E"/>
    <w:rsid w:val="006E17C9"/>
    <w:rsid w:val="006F4AE7"/>
    <w:rsid w:val="006F62A9"/>
    <w:rsid w:val="00701BDD"/>
    <w:rsid w:val="00714057"/>
    <w:rsid w:val="00721617"/>
    <w:rsid w:val="00766675"/>
    <w:rsid w:val="00771D1F"/>
    <w:rsid w:val="007920E1"/>
    <w:rsid w:val="007A62F3"/>
    <w:rsid w:val="007B4B8C"/>
    <w:rsid w:val="007C696A"/>
    <w:rsid w:val="007D2AF9"/>
    <w:rsid w:val="007D3AD5"/>
    <w:rsid w:val="00804DEB"/>
    <w:rsid w:val="008069A9"/>
    <w:rsid w:val="0081531F"/>
    <w:rsid w:val="00845FAF"/>
    <w:rsid w:val="00854B40"/>
    <w:rsid w:val="008914B3"/>
    <w:rsid w:val="008B2066"/>
    <w:rsid w:val="008C50DD"/>
    <w:rsid w:val="008C69A0"/>
    <w:rsid w:val="008D52E7"/>
    <w:rsid w:val="008E0FAB"/>
    <w:rsid w:val="008E1229"/>
    <w:rsid w:val="008F75E3"/>
    <w:rsid w:val="00935870"/>
    <w:rsid w:val="00952EA9"/>
    <w:rsid w:val="00955387"/>
    <w:rsid w:val="0095709D"/>
    <w:rsid w:val="00962942"/>
    <w:rsid w:val="00972B92"/>
    <w:rsid w:val="00973597"/>
    <w:rsid w:val="00982589"/>
    <w:rsid w:val="009D2D60"/>
    <w:rsid w:val="009D5276"/>
    <w:rsid w:val="009D55BE"/>
    <w:rsid w:val="009E5514"/>
    <w:rsid w:val="009F4417"/>
    <w:rsid w:val="009F5799"/>
    <w:rsid w:val="00A21E9B"/>
    <w:rsid w:val="00A27329"/>
    <w:rsid w:val="00A319C3"/>
    <w:rsid w:val="00A3545B"/>
    <w:rsid w:val="00A5299E"/>
    <w:rsid w:val="00A54F97"/>
    <w:rsid w:val="00A7101F"/>
    <w:rsid w:val="00A9450A"/>
    <w:rsid w:val="00A97310"/>
    <w:rsid w:val="00AB30B6"/>
    <w:rsid w:val="00AC0E68"/>
    <w:rsid w:val="00AC7F52"/>
    <w:rsid w:val="00AE5570"/>
    <w:rsid w:val="00AE651C"/>
    <w:rsid w:val="00AF6B4B"/>
    <w:rsid w:val="00B13683"/>
    <w:rsid w:val="00B15508"/>
    <w:rsid w:val="00B21488"/>
    <w:rsid w:val="00B223F2"/>
    <w:rsid w:val="00B32E0E"/>
    <w:rsid w:val="00B34354"/>
    <w:rsid w:val="00B357EC"/>
    <w:rsid w:val="00B56922"/>
    <w:rsid w:val="00B61BBC"/>
    <w:rsid w:val="00B62184"/>
    <w:rsid w:val="00B73ACB"/>
    <w:rsid w:val="00B843EF"/>
    <w:rsid w:val="00B930EE"/>
    <w:rsid w:val="00B9463B"/>
    <w:rsid w:val="00B97608"/>
    <w:rsid w:val="00BA0529"/>
    <w:rsid w:val="00BA0612"/>
    <w:rsid w:val="00BD1E3B"/>
    <w:rsid w:val="00BE6152"/>
    <w:rsid w:val="00BF4BAD"/>
    <w:rsid w:val="00BF72F5"/>
    <w:rsid w:val="00C01EA2"/>
    <w:rsid w:val="00C37209"/>
    <w:rsid w:val="00C41A82"/>
    <w:rsid w:val="00C42950"/>
    <w:rsid w:val="00C53943"/>
    <w:rsid w:val="00C611E7"/>
    <w:rsid w:val="00C66073"/>
    <w:rsid w:val="00C70666"/>
    <w:rsid w:val="00C92185"/>
    <w:rsid w:val="00C9306F"/>
    <w:rsid w:val="00CA0CF1"/>
    <w:rsid w:val="00CB26D5"/>
    <w:rsid w:val="00CC04B0"/>
    <w:rsid w:val="00CC2CBF"/>
    <w:rsid w:val="00CC5F35"/>
    <w:rsid w:val="00CD13FA"/>
    <w:rsid w:val="00CD5A24"/>
    <w:rsid w:val="00CE49ED"/>
    <w:rsid w:val="00CE7791"/>
    <w:rsid w:val="00D2587C"/>
    <w:rsid w:val="00D7127B"/>
    <w:rsid w:val="00D82498"/>
    <w:rsid w:val="00D8320D"/>
    <w:rsid w:val="00D91158"/>
    <w:rsid w:val="00D93CDF"/>
    <w:rsid w:val="00DA1802"/>
    <w:rsid w:val="00DA5044"/>
    <w:rsid w:val="00DB7014"/>
    <w:rsid w:val="00DC1383"/>
    <w:rsid w:val="00DE2A4A"/>
    <w:rsid w:val="00DE6DA6"/>
    <w:rsid w:val="00DF42BD"/>
    <w:rsid w:val="00DF4B0B"/>
    <w:rsid w:val="00E01B93"/>
    <w:rsid w:val="00E20A3C"/>
    <w:rsid w:val="00E31B84"/>
    <w:rsid w:val="00E351E0"/>
    <w:rsid w:val="00E46F28"/>
    <w:rsid w:val="00E50E75"/>
    <w:rsid w:val="00E615A8"/>
    <w:rsid w:val="00E7461F"/>
    <w:rsid w:val="00E87142"/>
    <w:rsid w:val="00EA2DDC"/>
    <w:rsid w:val="00EC7375"/>
    <w:rsid w:val="00ED2E5D"/>
    <w:rsid w:val="00ED61F6"/>
    <w:rsid w:val="00EF15A6"/>
    <w:rsid w:val="00EF1D16"/>
    <w:rsid w:val="00EF5B75"/>
    <w:rsid w:val="00EF5E2B"/>
    <w:rsid w:val="00EF7273"/>
    <w:rsid w:val="00F112AD"/>
    <w:rsid w:val="00F13118"/>
    <w:rsid w:val="00F13E97"/>
    <w:rsid w:val="00F2125F"/>
    <w:rsid w:val="00F22527"/>
    <w:rsid w:val="00F35671"/>
    <w:rsid w:val="00F46DB7"/>
    <w:rsid w:val="00F641D1"/>
    <w:rsid w:val="00F65991"/>
    <w:rsid w:val="00F74DA2"/>
    <w:rsid w:val="00F75217"/>
    <w:rsid w:val="00FA5C89"/>
    <w:rsid w:val="00FB7338"/>
    <w:rsid w:val="00FC2D4D"/>
    <w:rsid w:val="00FF2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A7C48E"/>
  <w15:docId w15:val="{14EEF03C-B80F-475C-A194-DDAC74F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DB0"/>
    <w:pPr>
      <w:spacing w:after="200" w:line="276" w:lineRule="auto"/>
    </w:pPr>
    <w:rPr>
      <w:sz w:val="22"/>
      <w:szCs w:val="22"/>
      <w:lang w:eastAsia="en-US"/>
    </w:rPr>
  </w:style>
  <w:style w:type="paragraph" w:styleId="Titolo1">
    <w:name w:val="heading 1"/>
    <w:basedOn w:val="Normale"/>
    <w:link w:val="Titolo1Carattere"/>
    <w:uiPriority w:val="99"/>
    <w:qFormat/>
    <w:rsid w:val="00972B92"/>
    <w:pPr>
      <w:spacing w:before="100" w:beforeAutospacing="1" w:after="100" w:afterAutospacing="1" w:line="240" w:lineRule="auto"/>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72B92"/>
    <w:rPr>
      <w:rFonts w:eastAsia="Times New Roman" w:cs="Times New Roman"/>
      <w:b/>
      <w:kern w:val="36"/>
      <w:sz w:val="48"/>
      <w:lang w:eastAsia="it-IT"/>
    </w:rPr>
  </w:style>
  <w:style w:type="character" w:styleId="Enfasigrassetto">
    <w:name w:val="Strong"/>
    <w:uiPriority w:val="99"/>
    <w:qFormat/>
    <w:rsid w:val="00345DB0"/>
    <w:rPr>
      <w:rFonts w:cs="Times New Roman"/>
      <w:b/>
    </w:rPr>
  </w:style>
  <w:style w:type="character" w:styleId="Enfasicorsivo">
    <w:name w:val="Emphasis"/>
    <w:uiPriority w:val="99"/>
    <w:qFormat/>
    <w:rsid w:val="00345DB0"/>
    <w:rPr>
      <w:rFonts w:cs="Times New Roman"/>
      <w:i/>
    </w:rPr>
  </w:style>
  <w:style w:type="paragraph" w:customStyle="1" w:styleId="Paragrafoelenco1">
    <w:name w:val="Paragrafo elenco1"/>
    <w:aliases w:val="Titolo Paragrafo"/>
    <w:basedOn w:val="Normale"/>
    <w:uiPriority w:val="99"/>
    <w:rsid w:val="00345DB0"/>
    <w:pPr>
      <w:ind w:left="720"/>
      <w:contextualSpacing/>
    </w:pPr>
    <w:rPr>
      <w:b/>
      <w:sz w:val="24"/>
    </w:rPr>
  </w:style>
  <w:style w:type="character" w:customStyle="1" w:styleId="Titolodellibro1">
    <w:name w:val="Titolo del libro1"/>
    <w:aliases w:val="Titolo tesi"/>
    <w:uiPriority w:val="99"/>
    <w:rsid w:val="00345DB0"/>
    <w:rPr>
      <w:rFonts w:ascii="Times New Roman" w:hAnsi="Times New Roman"/>
      <w:b/>
      <w:smallCaps/>
      <w:color w:val="auto"/>
      <w:spacing w:val="5"/>
      <w:sz w:val="28"/>
    </w:rPr>
  </w:style>
  <w:style w:type="character" w:styleId="Collegamentoipertestuale">
    <w:name w:val="Hyperlink"/>
    <w:uiPriority w:val="99"/>
    <w:semiHidden/>
    <w:rsid w:val="00972B92"/>
    <w:rPr>
      <w:rFonts w:cs="Times New Roman"/>
      <w:color w:val="0000FF"/>
      <w:u w:val="single"/>
    </w:rPr>
  </w:style>
  <w:style w:type="character" w:customStyle="1" w:styleId="apple-converted-space">
    <w:name w:val="apple-converted-space"/>
    <w:uiPriority w:val="99"/>
    <w:rsid w:val="00972B92"/>
    <w:rPr>
      <w:rFonts w:cs="Times New Roman"/>
    </w:rPr>
  </w:style>
  <w:style w:type="character" w:customStyle="1" w:styleId="highlight">
    <w:name w:val="highlight"/>
    <w:uiPriority w:val="99"/>
    <w:rsid w:val="00972B92"/>
    <w:rPr>
      <w:rFonts w:cs="Times New Roman"/>
    </w:rPr>
  </w:style>
  <w:style w:type="paragraph" w:styleId="NormaleWeb">
    <w:name w:val="Normal (Web)"/>
    <w:basedOn w:val="Normale"/>
    <w:uiPriority w:val="99"/>
    <w:semiHidden/>
    <w:rsid w:val="00415E50"/>
    <w:pPr>
      <w:spacing w:before="100" w:beforeAutospacing="1" w:after="100" w:afterAutospacing="1" w:line="240" w:lineRule="auto"/>
    </w:pPr>
    <w:rPr>
      <w:sz w:val="24"/>
      <w:szCs w:val="24"/>
      <w:lang w:eastAsia="it-IT"/>
    </w:rPr>
  </w:style>
  <w:style w:type="paragraph" w:styleId="Pidipagina">
    <w:name w:val="footer"/>
    <w:basedOn w:val="Normale"/>
    <w:link w:val="PidipaginaCarattere"/>
    <w:uiPriority w:val="99"/>
    <w:rsid w:val="006C2803"/>
    <w:pPr>
      <w:tabs>
        <w:tab w:val="center" w:pos="4819"/>
        <w:tab w:val="right" w:pos="9638"/>
      </w:tabs>
    </w:pPr>
  </w:style>
  <w:style w:type="character" w:customStyle="1" w:styleId="PidipaginaCarattere">
    <w:name w:val="Piè di pagina Carattere"/>
    <w:link w:val="Pidipagina"/>
    <w:uiPriority w:val="99"/>
    <w:semiHidden/>
    <w:locked/>
    <w:rPr>
      <w:rFonts w:cs="Times New Roman"/>
      <w:lang w:eastAsia="en-US"/>
    </w:rPr>
  </w:style>
  <w:style w:type="character" w:styleId="Numeropagina">
    <w:name w:val="page number"/>
    <w:uiPriority w:val="99"/>
    <w:rsid w:val="006C2803"/>
    <w:rPr>
      <w:rFonts w:cs="Times New Roman"/>
    </w:rPr>
  </w:style>
  <w:style w:type="character" w:customStyle="1" w:styleId="text">
    <w:name w:val="text"/>
    <w:uiPriority w:val="99"/>
    <w:rsid w:val="00302335"/>
  </w:style>
  <w:style w:type="character" w:styleId="Rimandocommento">
    <w:name w:val="annotation reference"/>
    <w:uiPriority w:val="99"/>
    <w:rsid w:val="00BA0612"/>
    <w:rPr>
      <w:rFonts w:cs="Times New Roman"/>
      <w:sz w:val="16"/>
      <w:szCs w:val="16"/>
    </w:rPr>
  </w:style>
  <w:style w:type="paragraph" w:styleId="Testocommento">
    <w:name w:val="annotation text"/>
    <w:basedOn w:val="Normale"/>
    <w:link w:val="TestocommentoCarattere"/>
    <w:uiPriority w:val="99"/>
    <w:rsid w:val="00BA0612"/>
    <w:pPr>
      <w:spacing w:after="0" w:line="240" w:lineRule="auto"/>
    </w:pPr>
    <w:rPr>
      <w:sz w:val="20"/>
      <w:szCs w:val="20"/>
      <w:lang w:eastAsia="it-IT"/>
    </w:rPr>
  </w:style>
  <w:style w:type="character" w:customStyle="1" w:styleId="TestocommentoCarattere">
    <w:name w:val="Testo commento Carattere"/>
    <w:link w:val="Testocommento"/>
    <w:uiPriority w:val="99"/>
    <w:locked/>
    <w:rsid w:val="00BA0612"/>
    <w:rPr>
      <w:rFonts w:cs="Times New Roman"/>
    </w:rPr>
  </w:style>
  <w:style w:type="paragraph" w:styleId="Testofumetto">
    <w:name w:val="Balloon Text"/>
    <w:basedOn w:val="Normale"/>
    <w:link w:val="TestofumettoCarattere"/>
    <w:uiPriority w:val="99"/>
    <w:semiHidden/>
    <w:rsid w:val="00BA061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BA0612"/>
    <w:rPr>
      <w:rFonts w:ascii="Segoe UI" w:hAnsi="Segoe UI" w:cs="Segoe UI"/>
      <w:sz w:val="18"/>
      <w:szCs w:val="18"/>
      <w:lang w:eastAsia="en-US"/>
    </w:rPr>
  </w:style>
  <w:style w:type="paragraph" w:customStyle="1" w:styleId="xmsonormal">
    <w:name w:val="x_msonormal"/>
    <w:basedOn w:val="Normale"/>
    <w:uiPriority w:val="99"/>
    <w:rsid w:val="00C611E7"/>
    <w:pPr>
      <w:spacing w:before="100" w:beforeAutospacing="1" w:after="100" w:afterAutospacing="1" w:line="240" w:lineRule="auto"/>
    </w:pPr>
    <w:rPr>
      <w:sz w:val="24"/>
      <w:szCs w:val="24"/>
      <w:lang w:eastAsia="it-IT"/>
    </w:rPr>
  </w:style>
  <w:style w:type="paragraph" w:styleId="Paragrafoelenco">
    <w:name w:val="List Paragraph"/>
    <w:basedOn w:val="Normale"/>
    <w:uiPriority w:val="99"/>
    <w:qFormat/>
    <w:rsid w:val="004F37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0338">
      <w:marLeft w:val="0"/>
      <w:marRight w:val="0"/>
      <w:marTop w:val="0"/>
      <w:marBottom w:val="0"/>
      <w:divBdr>
        <w:top w:val="none" w:sz="0" w:space="0" w:color="auto"/>
        <w:left w:val="none" w:sz="0" w:space="0" w:color="auto"/>
        <w:bottom w:val="none" w:sz="0" w:space="0" w:color="auto"/>
        <w:right w:val="none" w:sz="0" w:space="0" w:color="auto"/>
      </w:divBdr>
    </w:div>
    <w:div w:id="1896500339">
      <w:marLeft w:val="0"/>
      <w:marRight w:val="0"/>
      <w:marTop w:val="0"/>
      <w:marBottom w:val="0"/>
      <w:divBdr>
        <w:top w:val="none" w:sz="0" w:space="0" w:color="auto"/>
        <w:left w:val="none" w:sz="0" w:space="0" w:color="auto"/>
        <w:bottom w:val="none" w:sz="0" w:space="0" w:color="auto"/>
        <w:right w:val="none" w:sz="0" w:space="0" w:color="auto"/>
      </w:divBdr>
    </w:div>
    <w:div w:id="1896500340">
      <w:marLeft w:val="0"/>
      <w:marRight w:val="0"/>
      <w:marTop w:val="0"/>
      <w:marBottom w:val="0"/>
      <w:divBdr>
        <w:top w:val="none" w:sz="0" w:space="0" w:color="auto"/>
        <w:left w:val="none" w:sz="0" w:space="0" w:color="auto"/>
        <w:bottom w:val="none" w:sz="0" w:space="0" w:color="auto"/>
        <w:right w:val="none" w:sz="0" w:space="0" w:color="auto"/>
      </w:divBdr>
    </w:div>
    <w:div w:id="1896500341">
      <w:marLeft w:val="0"/>
      <w:marRight w:val="0"/>
      <w:marTop w:val="0"/>
      <w:marBottom w:val="0"/>
      <w:divBdr>
        <w:top w:val="none" w:sz="0" w:space="0" w:color="auto"/>
        <w:left w:val="none" w:sz="0" w:space="0" w:color="auto"/>
        <w:bottom w:val="none" w:sz="0" w:space="0" w:color="auto"/>
        <w:right w:val="none" w:sz="0" w:space="0" w:color="auto"/>
      </w:divBdr>
    </w:div>
    <w:div w:id="1896500342">
      <w:marLeft w:val="0"/>
      <w:marRight w:val="0"/>
      <w:marTop w:val="0"/>
      <w:marBottom w:val="0"/>
      <w:divBdr>
        <w:top w:val="none" w:sz="0" w:space="0" w:color="auto"/>
        <w:left w:val="none" w:sz="0" w:space="0" w:color="auto"/>
        <w:bottom w:val="none" w:sz="0" w:space="0" w:color="auto"/>
        <w:right w:val="none" w:sz="0" w:space="0" w:color="auto"/>
      </w:divBdr>
    </w:div>
    <w:div w:id="1896500343">
      <w:marLeft w:val="0"/>
      <w:marRight w:val="0"/>
      <w:marTop w:val="0"/>
      <w:marBottom w:val="0"/>
      <w:divBdr>
        <w:top w:val="none" w:sz="0" w:space="0" w:color="auto"/>
        <w:left w:val="none" w:sz="0" w:space="0" w:color="auto"/>
        <w:bottom w:val="none" w:sz="0" w:space="0" w:color="auto"/>
        <w:right w:val="none" w:sz="0" w:space="0" w:color="auto"/>
      </w:divBdr>
    </w:div>
    <w:div w:id="1896500344">
      <w:marLeft w:val="0"/>
      <w:marRight w:val="0"/>
      <w:marTop w:val="0"/>
      <w:marBottom w:val="0"/>
      <w:divBdr>
        <w:top w:val="none" w:sz="0" w:space="0" w:color="auto"/>
        <w:left w:val="none" w:sz="0" w:space="0" w:color="auto"/>
        <w:bottom w:val="none" w:sz="0" w:space="0" w:color="auto"/>
        <w:right w:val="none" w:sz="0" w:space="0" w:color="auto"/>
      </w:divBdr>
    </w:div>
    <w:div w:id="1896500345">
      <w:marLeft w:val="0"/>
      <w:marRight w:val="0"/>
      <w:marTop w:val="0"/>
      <w:marBottom w:val="0"/>
      <w:divBdr>
        <w:top w:val="none" w:sz="0" w:space="0" w:color="auto"/>
        <w:left w:val="none" w:sz="0" w:space="0" w:color="auto"/>
        <w:bottom w:val="none" w:sz="0" w:space="0" w:color="auto"/>
        <w:right w:val="none" w:sz="0" w:space="0" w:color="auto"/>
      </w:divBdr>
    </w:div>
    <w:div w:id="1896500346">
      <w:marLeft w:val="0"/>
      <w:marRight w:val="0"/>
      <w:marTop w:val="0"/>
      <w:marBottom w:val="0"/>
      <w:divBdr>
        <w:top w:val="none" w:sz="0" w:space="0" w:color="auto"/>
        <w:left w:val="none" w:sz="0" w:space="0" w:color="auto"/>
        <w:bottom w:val="none" w:sz="0" w:space="0" w:color="auto"/>
        <w:right w:val="none" w:sz="0" w:space="0" w:color="auto"/>
      </w:divBdr>
    </w:div>
    <w:div w:id="1896500347">
      <w:marLeft w:val="0"/>
      <w:marRight w:val="0"/>
      <w:marTop w:val="0"/>
      <w:marBottom w:val="0"/>
      <w:divBdr>
        <w:top w:val="none" w:sz="0" w:space="0" w:color="auto"/>
        <w:left w:val="none" w:sz="0" w:space="0" w:color="auto"/>
        <w:bottom w:val="none" w:sz="0" w:space="0" w:color="auto"/>
        <w:right w:val="none" w:sz="0" w:space="0" w:color="auto"/>
      </w:divBdr>
    </w:div>
    <w:div w:id="189650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6361-F475-4730-A0DE-CC27441B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1261</Words>
  <Characters>7192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Richiesta Assegno di ricerca – Tutor Prof</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Assegno di ricerca – Tutor Prof</dc:title>
  <dc:subject/>
  <dc:creator>Roberta</dc:creator>
  <cp:keywords/>
  <dc:description/>
  <cp:lastModifiedBy>Giovanna Cenacchi</cp:lastModifiedBy>
  <cp:revision>3</cp:revision>
  <dcterms:created xsi:type="dcterms:W3CDTF">2020-06-24T08:46:00Z</dcterms:created>
  <dcterms:modified xsi:type="dcterms:W3CDTF">2020-06-26T10:35:00Z</dcterms:modified>
</cp:coreProperties>
</file>